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36458221" w14:textId="307A700E" w:rsidR="00667B33" w:rsidRPr="00EB0252" w:rsidRDefault="000B77F0" w:rsidP="0014775A">
      <w:pPr>
        <w:spacing w:after="0"/>
        <w:jc w:val="center"/>
        <w:rPr>
          <w:rFonts w:ascii="Arial" w:hAnsi="Arial" w:cs="Arial"/>
          <w:b/>
          <w:bCs/>
          <w:lang w:val="es-ES"/>
        </w:rPr>
      </w:pPr>
      <w:r w:rsidRPr="00EB0252">
        <w:rPr>
          <w:rFonts w:ascii="Arial" w:hAnsi="Arial" w:cs="Arial"/>
          <w:b/>
          <w:bCs/>
          <w:lang w:val="es-ES"/>
        </w:rPr>
        <w:t>Guía para el fortalecimiento de</w:t>
      </w:r>
      <w:r w:rsidR="00FD1B58" w:rsidRPr="00EB0252">
        <w:rPr>
          <w:rFonts w:ascii="Arial" w:hAnsi="Arial" w:cs="Arial"/>
          <w:b/>
          <w:bCs/>
          <w:lang w:val="es-ES"/>
        </w:rPr>
        <w:t xml:space="preserve"> </w:t>
      </w:r>
      <w:r w:rsidRPr="00EB0252">
        <w:rPr>
          <w:rFonts w:ascii="Arial" w:hAnsi="Arial" w:cs="Arial"/>
          <w:b/>
          <w:bCs/>
          <w:lang w:val="es-ES"/>
        </w:rPr>
        <w:t xml:space="preserve">aprendizajes </w:t>
      </w:r>
      <w:r w:rsidR="00FD1B58" w:rsidRPr="00EB0252">
        <w:rPr>
          <w:rFonts w:ascii="Arial" w:hAnsi="Arial" w:cs="Arial"/>
          <w:b/>
          <w:bCs/>
          <w:lang w:val="es-ES"/>
        </w:rPr>
        <w:t xml:space="preserve">con menor nivel de desempeño </w:t>
      </w:r>
      <w:r w:rsidR="00577638" w:rsidRPr="00EB0252">
        <w:rPr>
          <w:rFonts w:ascii="Arial" w:hAnsi="Arial" w:cs="Arial"/>
          <w:b/>
          <w:bCs/>
          <w:lang w:val="es-ES"/>
        </w:rPr>
        <w:t xml:space="preserve">según resultados de las </w:t>
      </w:r>
      <w:r w:rsidR="009D2F90" w:rsidRPr="00EB0252">
        <w:rPr>
          <w:rFonts w:ascii="Arial" w:hAnsi="Arial" w:cs="Arial"/>
          <w:b/>
          <w:bCs/>
          <w:lang w:val="es-ES"/>
        </w:rPr>
        <w:t>PNE</w:t>
      </w:r>
      <w:r w:rsidR="00577638" w:rsidRPr="00EB0252">
        <w:rPr>
          <w:rFonts w:ascii="Arial" w:hAnsi="Arial" w:cs="Arial"/>
          <w:b/>
          <w:bCs/>
          <w:lang w:val="es-ES"/>
        </w:rPr>
        <w:t xml:space="preserve"> diagnóstica</w:t>
      </w:r>
      <w:r w:rsidR="009D2F90" w:rsidRPr="00EB0252">
        <w:rPr>
          <w:rFonts w:ascii="Arial" w:hAnsi="Arial" w:cs="Arial"/>
          <w:b/>
          <w:bCs/>
          <w:lang w:val="es-ES"/>
        </w:rPr>
        <w:t>s</w:t>
      </w:r>
    </w:p>
    <w:tbl>
      <w:tblPr>
        <w:tblStyle w:val="Tablaconcuadrcula"/>
        <w:tblW w:w="10632" w:type="dxa"/>
        <w:tblInd w:w="-856" w:type="dxa"/>
        <w:tblLook w:val="04A0" w:firstRow="1" w:lastRow="0" w:firstColumn="1" w:lastColumn="0" w:noHBand="0" w:noVBand="1"/>
      </w:tblPr>
      <w:tblGrid>
        <w:gridCol w:w="3885"/>
        <w:gridCol w:w="2916"/>
        <w:gridCol w:w="3831"/>
      </w:tblGrid>
      <w:tr w:rsidR="007D06AA" w:rsidRPr="009071BF" w14:paraId="2AF97313" w14:textId="77777777" w:rsidTr="009A352A">
        <w:tc>
          <w:tcPr>
            <w:tcW w:w="10632" w:type="dxa"/>
            <w:gridSpan w:val="3"/>
          </w:tcPr>
          <w:p w14:paraId="6043FACD" w14:textId="0EC52D51" w:rsidR="007D06AA" w:rsidRPr="009071BF" w:rsidRDefault="007D06AA" w:rsidP="008D64D1">
            <w:pPr>
              <w:jc w:val="center"/>
              <w:rPr>
                <w:rFonts w:cstheme="minorHAnsi"/>
                <w:b/>
                <w:bCs/>
                <w:lang w:val="es-ES"/>
              </w:rPr>
            </w:pPr>
            <w:r w:rsidRPr="009071BF">
              <w:rPr>
                <w:rFonts w:cstheme="minorHAnsi"/>
                <w:b/>
                <w:bCs/>
                <w:lang w:val="es-ES"/>
              </w:rPr>
              <w:lastRenderedPageBreak/>
              <w:t>Datos generales</w:t>
            </w:r>
          </w:p>
        </w:tc>
      </w:tr>
      <w:tr w:rsidR="009D2F90" w:rsidRPr="009071BF" w14:paraId="7692DC25" w14:textId="77777777" w:rsidTr="009A352A">
        <w:tc>
          <w:tcPr>
            <w:tcW w:w="3885" w:type="dxa"/>
          </w:tcPr>
          <w:p w14:paraId="0D981CE8" w14:textId="203958B1" w:rsidR="009D2F90" w:rsidRPr="009071BF" w:rsidRDefault="009D2F90" w:rsidP="003D4638">
            <w:pPr>
              <w:rPr>
                <w:rFonts w:cstheme="minorHAnsi"/>
              </w:rPr>
            </w:pPr>
            <w:r w:rsidRPr="009071BF">
              <w:rPr>
                <w:rFonts w:cstheme="minorHAnsi"/>
              </w:rPr>
              <w:t>• Asignatura</w:t>
            </w:r>
            <w:r w:rsidR="0014775A" w:rsidRPr="009071BF">
              <w:rPr>
                <w:rFonts w:cstheme="minorHAnsi"/>
              </w:rPr>
              <w:t>: Química</w:t>
            </w:r>
          </w:p>
          <w:p w14:paraId="5D6A6EBC" w14:textId="77777777" w:rsidR="009D2F90" w:rsidRPr="009071BF" w:rsidRDefault="009D2F90" w:rsidP="003D4638">
            <w:pPr>
              <w:rPr>
                <w:rFonts w:cstheme="minorHAnsi"/>
              </w:rPr>
            </w:pPr>
          </w:p>
        </w:tc>
        <w:tc>
          <w:tcPr>
            <w:tcW w:w="2916" w:type="dxa"/>
          </w:tcPr>
          <w:p w14:paraId="191F01BA" w14:textId="51A9E57A" w:rsidR="009D2F90" w:rsidRPr="009071BF" w:rsidRDefault="009D2F90" w:rsidP="003D4638">
            <w:pPr>
              <w:rPr>
                <w:rFonts w:cstheme="minorHAnsi"/>
              </w:rPr>
            </w:pPr>
            <w:r w:rsidRPr="009071BF">
              <w:rPr>
                <w:rFonts w:cstheme="minorHAnsi"/>
              </w:rPr>
              <w:t>• Nivel educativo</w:t>
            </w:r>
            <w:r w:rsidR="00166DEC" w:rsidRPr="009071BF">
              <w:rPr>
                <w:rFonts w:cstheme="minorHAnsi"/>
              </w:rPr>
              <w:t>: Décimo</w:t>
            </w:r>
          </w:p>
        </w:tc>
        <w:tc>
          <w:tcPr>
            <w:tcW w:w="3831" w:type="dxa"/>
          </w:tcPr>
          <w:p w14:paraId="3EC06942" w14:textId="15ECF001" w:rsidR="009D2F90" w:rsidRPr="009071BF" w:rsidRDefault="009D2F90" w:rsidP="002A576E">
            <w:pPr>
              <w:rPr>
                <w:rFonts w:cstheme="minorHAnsi"/>
              </w:rPr>
            </w:pPr>
            <w:r w:rsidRPr="009071BF">
              <w:rPr>
                <w:rFonts w:cstheme="minorHAnsi"/>
              </w:rPr>
              <w:t>• Tiempo estimado</w:t>
            </w:r>
            <w:r w:rsidR="009071BF">
              <w:rPr>
                <w:rFonts w:cstheme="minorHAnsi"/>
              </w:rPr>
              <w:t>: 8 lecciones</w:t>
            </w:r>
          </w:p>
        </w:tc>
      </w:tr>
      <w:tr w:rsidR="007D06AA" w:rsidRPr="009071BF" w14:paraId="59111FC7" w14:textId="77777777" w:rsidTr="009A352A">
        <w:tc>
          <w:tcPr>
            <w:tcW w:w="10632" w:type="dxa"/>
            <w:gridSpan w:val="3"/>
          </w:tcPr>
          <w:p w14:paraId="7B14691B" w14:textId="2D0554D5" w:rsidR="007D06AA" w:rsidRPr="009071BF" w:rsidRDefault="007D06AA" w:rsidP="0044288F">
            <w:pPr>
              <w:jc w:val="center"/>
              <w:rPr>
                <w:rFonts w:cstheme="minorHAnsi"/>
                <w:b/>
                <w:bCs/>
                <w:lang w:val="es-ES"/>
              </w:rPr>
            </w:pPr>
            <w:r w:rsidRPr="009071BF">
              <w:rPr>
                <w:rFonts w:cstheme="minorHAnsi"/>
                <w:b/>
                <w:bCs/>
                <w:lang w:val="es-ES"/>
              </w:rPr>
              <w:t>Propósito</w:t>
            </w:r>
          </w:p>
        </w:tc>
      </w:tr>
      <w:tr w:rsidR="007D06AA" w:rsidRPr="008008F7" w14:paraId="027FFC40" w14:textId="77777777" w:rsidTr="009A352A">
        <w:tc>
          <w:tcPr>
            <w:tcW w:w="10632" w:type="dxa"/>
            <w:gridSpan w:val="3"/>
          </w:tcPr>
          <w:p w14:paraId="00FCEF96" w14:textId="384EB066" w:rsidR="00FC0A2B" w:rsidRPr="008008F7" w:rsidRDefault="008008F7" w:rsidP="008008F7">
            <w:pPr>
              <w:spacing w:line="276" w:lineRule="auto"/>
              <w:jc w:val="both"/>
              <w:rPr>
                <w:rFonts w:cstheme="minorHAnsi"/>
                <w:lang w:val="es-ES"/>
              </w:rPr>
            </w:pPr>
            <w:r w:rsidRPr="008008F7">
              <w:rPr>
                <w:rFonts w:cstheme="minorHAnsi"/>
              </w:rPr>
              <w:t>Analiza metales, no metales y metaloides a partir de sus características, ubicación en la tabla periódica y ejemplos cotidianos.</w:t>
            </w:r>
          </w:p>
        </w:tc>
      </w:tr>
      <w:tr w:rsidR="007D06AA" w:rsidRPr="009071BF" w14:paraId="3AC063FB" w14:textId="77777777" w:rsidTr="009A352A">
        <w:tc>
          <w:tcPr>
            <w:tcW w:w="10632" w:type="dxa"/>
            <w:gridSpan w:val="3"/>
          </w:tcPr>
          <w:p w14:paraId="02FCE3EB" w14:textId="371530D8" w:rsidR="0044288F" w:rsidRPr="009071BF" w:rsidRDefault="0044288F" w:rsidP="0044288F">
            <w:pPr>
              <w:jc w:val="center"/>
              <w:rPr>
                <w:rFonts w:cstheme="minorHAnsi"/>
                <w:b/>
                <w:bCs/>
                <w:lang w:val="es-ES"/>
              </w:rPr>
            </w:pPr>
            <w:r w:rsidRPr="009071BF">
              <w:rPr>
                <w:rFonts w:cstheme="minorHAnsi"/>
                <w:b/>
                <w:bCs/>
                <w:lang w:val="es-ES"/>
              </w:rPr>
              <w:t>Metodología por desarrollar</w:t>
            </w:r>
          </w:p>
        </w:tc>
      </w:tr>
      <w:tr w:rsidR="007D06AA" w:rsidRPr="009071BF" w14:paraId="006A42D1" w14:textId="77777777" w:rsidTr="009A352A">
        <w:tc>
          <w:tcPr>
            <w:tcW w:w="10632" w:type="dxa"/>
            <w:gridSpan w:val="3"/>
          </w:tcPr>
          <w:tbl>
            <w:tblPr>
              <w:tblW w:w="10371" w:type="dxa"/>
              <w:tblBorders>
                <w:top w:val="single" w:sz="6" w:space="0" w:color="CBD5E0"/>
                <w:left w:val="single" w:sz="6" w:space="0" w:color="CBD5E0"/>
                <w:bottom w:val="single" w:sz="6" w:space="0" w:color="CBD5E0"/>
                <w:right w:val="single" w:sz="6" w:space="0" w:color="CBD5E0"/>
                <w:insideH w:val="single" w:sz="6" w:space="0" w:color="CBD5E0"/>
                <w:insideV w:val="single" w:sz="6" w:space="0" w:color="CBD5E0"/>
              </w:tblBorders>
              <w:tblLayout w:type="fixed"/>
              <w:tblLook w:val="0600" w:firstRow="0" w:lastRow="0" w:firstColumn="0" w:lastColumn="0" w:noHBand="1" w:noVBand="1"/>
            </w:tblPr>
            <w:tblGrid>
              <w:gridCol w:w="2260"/>
              <w:gridCol w:w="8111"/>
            </w:tblGrid>
            <w:tr w:rsidR="009A352A" w:rsidRPr="00063904" w14:paraId="23541A54" w14:textId="77777777" w:rsidTr="009A352A">
              <w:trPr>
                <w:tblHeader/>
              </w:trPr>
              <w:tc>
                <w:tcPr>
                  <w:tcW w:w="2260"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7C03B488" w14:textId="77777777" w:rsidR="009A352A" w:rsidRPr="00063904" w:rsidRDefault="009A352A" w:rsidP="009A352A">
                  <w:pPr>
                    <w:pBdr>
                      <w:top w:val="nil"/>
                      <w:left w:val="nil"/>
                      <w:bottom w:val="nil"/>
                      <w:right w:val="nil"/>
                      <w:between w:val="nil"/>
                    </w:pBdr>
                    <w:spacing w:before="150" w:after="150" w:line="300" w:lineRule="auto"/>
                    <w:rPr>
                      <w:b/>
                      <w:bCs/>
                    </w:rPr>
                  </w:pPr>
                  <w:r>
                    <w:rPr>
                      <w:b/>
                      <w:bCs/>
                    </w:rPr>
                    <w:t>Etapa</w:t>
                  </w:r>
                  <w:r w:rsidRPr="00063904">
                    <w:rPr>
                      <w:b/>
                      <w:bCs/>
                    </w:rPr>
                    <w:t xml:space="preserve"> de </w:t>
                  </w:r>
                  <w:r>
                    <w:rPr>
                      <w:b/>
                      <w:bCs/>
                    </w:rPr>
                    <w:t>la metodología indagatoria</w:t>
                  </w:r>
                </w:p>
              </w:tc>
              <w:tc>
                <w:tcPr>
                  <w:tcW w:w="8111"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3531B7BF" w14:textId="77777777" w:rsidR="009A352A" w:rsidRPr="00063904" w:rsidRDefault="009A352A" w:rsidP="009A352A">
                  <w:pPr>
                    <w:pBdr>
                      <w:top w:val="nil"/>
                      <w:left w:val="nil"/>
                      <w:bottom w:val="nil"/>
                      <w:right w:val="nil"/>
                      <w:between w:val="nil"/>
                    </w:pBdr>
                    <w:spacing w:before="150" w:after="150" w:line="300" w:lineRule="auto"/>
                    <w:rPr>
                      <w:b/>
                      <w:bCs/>
                    </w:rPr>
                  </w:pPr>
                  <w:r w:rsidRPr="00063904">
                    <w:rPr>
                      <w:b/>
                      <w:bCs/>
                    </w:rPr>
                    <w:t>Estrategias</w:t>
                  </w:r>
                  <w:r>
                    <w:rPr>
                      <w:b/>
                      <w:bCs/>
                    </w:rPr>
                    <w:t xml:space="preserve"> de mediación</w:t>
                  </w:r>
                </w:p>
                <w:p w14:paraId="4F62FB6B" w14:textId="77777777" w:rsidR="009A352A" w:rsidRPr="00063904" w:rsidRDefault="009A352A" w:rsidP="009A352A">
                  <w:pPr>
                    <w:pBdr>
                      <w:top w:val="nil"/>
                      <w:left w:val="nil"/>
                      <w:bottom w:val="nil"/>
                      <w:right w:val="nil"/>
                      <w:between w:val="nil"/>
                    </w:pBdr>
                  </w:pPr>
                  <w:r w:rsidRPr="00063904">
                    <w:t xml:space="preserve"> </w:t>
                  </w:r>
                </w:p>
              </w:tc>
            </w:tr>
            <w:tr w:rsidR="009A352A" w:rsidRPr="00063904" w14:paraId="50F1CB79" w14:textId="77777777" w:rsidTr="009A352A">
              <w:tc>
                <w:tcPr>
                  <w:tcW w:w="226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6C82D5EA" w14:textId="77777777" w:rsidR="009A352A" w:rsidRPr="00063904" w:rsidRDefault="009A352A" w:rsidP="009A352A">
                  <w:pPr>
                    <w:pBdr>
                      <w:top w:val="nil"/>
                      <w:left w:val="nil"/>
                      <w:bottom w:val="nil"/>
                      <w:right w:val="nil"/>
                      <w:between w:val="nil"/>
                    </w:pBdr>
                    <w:spacing w:before="150" w:after="150" w:line="300" w:lineRule="auto"/>
                    <w:rPr>
                      <w:b/>
                      <w:bCs/>
                    </w:rPr>
                  </w:pPr>
                  <w:r w:rsidRPr="00063904">
                    <w:rPr>
                      <w:b/>
                      <w:bCs/>
                    </w:rPr>
                    <w:t>Focalización</w:t>
                  </w:r>
                </w:p>
              </w:tc>
              <w:tc>
                <w:tcPr>
                  <w:tcW w:w="8111"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4529B438" w14:textId="0A127AE9" w:rsidR="00F15EFF" w:rsidRPr="00F15EFF" w:rsidRDefault="00F15EFF" w:rsidP="00F15EFF">
                  <w:pPr>
                    <w:pBdr>
                      <w:top w:val="nil"/>
                      <w:left w:val="nil"/>
                      <w:bottom w:val="nil"/>
                      <w:right w:val="nil"/>
                      <w:between w:val="nil"/>
                    </w:pBdr>
                    <w:spacing w:before="150" w:after="150" w:line="300" w:lineRule="auto"/>
                    <w:jc w:val="both"/>
                  </w:pPr>
                  <w:r w:rsidRPr="00F15EFF">
                    <w:t>La persona docente inicia la sesión mostrando dos objetos contrastantes comunes en la comunidad: un fragmento de cable de cobre expuesto y un trozo de carbón.</w:t>
                  </w:r>
                </w:p>
                <w:p w14:paraId="6BF3B18A" w14:textId="1BDD693E" w:rsidR="00F15EFF" w:rsidRPr="00F15EFF" w:rsidRDefault="00F15EFF" w:rsidP="00F15EFF">
                  <w:pPr>
                    <w:pBdr>
                      <w:top w:val="nil"/>
                      <w:left w:val="nil"/>
                      <w:bottom w:val="nil"/>
                      <w:right w:val="nil"/>
                      <w:between w:val="nil"/>
                    </w:pBdr>
                    <w:spacing w:before="150" w:after="150" w:line="300" w:lineRule="auto"/>
                    <w:jc w:val="both"/>
                  </w:pPr>
                  <w:r w:rsidRPr="00F15EFF">
                    <w:rPr>
                      <w:b/>
                      <w:bCs/>
                    </w:rPr>
                    <w:t>Preguntas Generadoras:</w:t>
                  </w:r>
                  <w:r w:rsidRPr="00F15EFF">
                    <w:t xml:space="preserve"> Se interroga al grupo para activar sus concepciones intuitivas y promover el conflicto cognitivo:</w:t>
                  </w:r>
                </w:p>
                <w:p w14:paraId="7EEEFC3B" w14:textId="7B9E0412" w:rsidR="00F15EFF" w:rsidRPr="00F15EFF" w:rsidRDefault="00F15EFF" w:rsidP="00F15EFF">
                  <w:pPr>
                    <w:numPr>
                      <w:ilvl w:val="0"/>
                      <w:numId w:val="8"/>
                    </w:numPr>
                    <w:pBdr>
                      <w:top w:val="nil"/>
                      <w:left w:val="nil"/>
                      <w:bottom w:val="nil"/>
                      <w:right w:val="nil"/>
                      <w:between w:val="nil"/>
                    </w:pBdr>
                    <w:spacing w:before="150" w:after="150" w:line="300" w:lineRule="auto"/>
                    <w:jc w:val="both"/>
                  </w:pPr>
                  <w:r w:rsidRPr="00F15EFF">
                    <w:rPr>
                      <w:i/>
                      <w:iCs/>
                    </w:rPr>
                    <w:t>¿Por qué la infraestructura eléctrica y constructiva de nuestro país se sostiene sobre redes de cobre o vigas de hierro y nunca sobre bloques de carbono?</w:t>
                  </w:r>
                </w:p>
                <w:p w14:paraId="314F6270" w14:textId="77777777" w:rsidR="00F15EFF" w:rsidRPr="00F15EFF" w:rsidRDefault="00F15EFF" w:rsidP="00F15EFF">
                  <w:pPr>
                    <w:numPr>
                      <w:ilvl w:val="0"/>
                      <w:numId w:val="8"/>
                    </w:numPr>
                    <w:pBdr>
                      <w:top w:val="nil"/>
                      <w:left w:val="nil"/>
                      <w:bottom w:val="nil"/>
                      <w:right w:val="nil"/>
                      <w:between w:val="nil"/>
                    </w:pBdr>
                    <w:spacing w:before="150" w:after="150" w:line="300" w:lineRule="auto"/>
                    <w:jc w:val="both"/>
                  </w:pPr>
                  <w:r w:rsidRPr="00F15EFF">
                    <w:rPr>
                      <w:i/>
                      <w:iCs/>
                    </w:rPr>
                    <w:t>¿Qué propiedad física microscópica diferencia a estos materiales si ambos se extraen de la corteza terrestre?</w:t>
                  </w:r>
                </w:p>
                <w:p w14:paraId="4D803808" w14:textId="40F928E5" w:rsidR="00F15EFF" w:rsidRPr="00F15EFF" w:rsidRDefault="00F15EFF" w:rsidP="00F15EFF">
                  <w:pPr>
                    <w:numPr>
                      <w:ilvl w:val="0"/>
                      <w:numId w:val="8"/>
                    </w:numPr>
                    <w:pBdr>
                      <w:top w:val="nil"/>
                      <w:left w:val="nil"/>
                      <w:bottom w:val="nil"/>
                      <w:right w:val="nil"/>
                      <w:between w:val="nil"/>
                    </w:pBdr>
                    <w:spacing w:before="150" w:after="150" w:line="300" w:lineRule="auto"/>
                    <w:jc w:val="both"/>
                  </w:pPr>
                  <w:r w:rsidRPr="00F15EFF">
                    <w:rPr>
                      <w:i/>
                      <w:iCs/>
                    </w:rPr>
                    <w:t>Si los metales conducen la electricidad y los no metales la bloquean, ¿qué tipo de elemento químico hace posible que los teléfonos inteligentes regulen con precisión la energía en sus microchips sin sobrecalentarse?</w:t>
                  </w:r>
                </w:p>
                <w:p w14:paraId="72556432" w14:textId="0670773A" w:rsidR="009A352A" w:rsidRPr="00063904" w:rsidRDefault="00F15EFF" w:rsidP="009A352A">
                  <w:pPr>
                    <w:pBdr>
                      <w:top w:val="nil"/>
                      <w:left w:val="nil"/>
                      <w:bottom w:val="nil"/>
                      <w:right w:val="nil"/>
                      <w:between w:val="nil"/>
                    </w:pBdr>
                    <w:spacing w:before="150" w:after="150" w:line="300" w:lineRule="auto"/>
                    <w:jc w:val="both"/>
                  </w:pPr>
                  <w:r w:rsidRPr="00F15EFF">
                    <w:t>Se anotan las hipótesis del estudiantado en la pizarra, clasificando las respuestas iniciales según las características macroscópicas que ellos mismos identifican (brillo, dureza, capacidad de romperse).</w:t>
                  </w:r>
                </w:p>
              </w:tc>
            </w:tr>
            <w:tr w:rsidR="009A352A" w:rsidRPr="00063904" w14:paraId="61935EAC" w14:textId="77777777" w:rsidTr="009A352A">
              <w:tc>
                <w:tcPr>
                  <w:tcW w:w="226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6717BDCB" w14:textId="77777777" w:rsidR="009A352A" w:rsidRPr="00063904" w:rsidRDefault="009A352A" w:rsidP="009A352A">
                  <w:pPr>
                    <w:pBdr>
                      <w:top w:val="nil"/>
                      <w:left w:val="nil"/>
                      <w:bottom w:val="nil"/>
                      <w:right w:val="nil"/>
                      <w:between w:val="nil"/>
                    </w:pBdr>
                    <w:spacing w:before="150" w:after="150" w:line="300" w:lineRule="auto"/>
                    <w:rPr>
                      <w:b/>
                      <w:bCs/>
                    </w:rPr>
                  </w:pPr>
                  <w:r w:rsidRPr="00063904">
                    <w:rPr>
                      <w:b/>
                      <w:bCs/>
                    </w:rPr>
                    <w:t>Exploración</w:t>
                  </w:r>
                </w:p>
              </w:tc>
              <w:tc>
                <w:tcPr>
                  <w:tcW w:w="8111"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14B6C394" w14:textId="43A3DCB3" w:rsidR="006C540F" w:rsidRPr="006C540F" w:rsidRDefault="006C540F" w:rsidP="006C540F">
                  <w:pPr>
                    <w:pBdr>
                      <w:top w:val="nil"/>
                      <w:left w:val="nil"/>
                      <w:bottom w:val="nil"/>
                      <w:right w:val="nil"/>
                      <w:between w:val="nil"/>
                    </w:pBdr>
                    <w:spacing w:before="150" w:after="150" w:line="300" w:lineRule="auto"/>
                    <w:jc w:val="both"/>
                  </w:pPr>
                  <w:r w:rsidRPr="006C540F">
                    <w:rPr>
                      <w:b/>
                      <w:bCs/>
                    </w:rPr>
                    <w:t>Estación de Diagnóstico de Propiedades Físicas:</w:t>
                  </w:r>
                  <w:r w:rsidRPr="006C540F">
                    <w:t xml:space="preserve"> En subgrupos de trabajo, el estudiantado recibe un kit seguro de muestras del entorno (clavos de hierro, láminas de aluminio, trozos de carbón, cristales de silicio o muestras de cuarzo).</w:t>
                  </w:r>
                </w:p>
                <w:p w14:paraId="4279CF52" w14:textId="3AD261E0" w:rsidR="006C540F" w:rsidRPr="006C540F" w:rsidRDefault="006C540F" w:rsidP="006C540F">
                  <w:pPr>
                    <w:pBdr>
                      <w:top w:val="nil"/>
                      <w:left w:val="nil"/>
                      <w:bottom w:val="nil"/>
                      <w:right w:val="nil"/>
                      <w:between w:val="nil"/>
                    </w:pBdr>
                    <w:spacing w:before="150" w:after="150" w:line="300" w:lineRule="auto"/>
                    <w:jc w:val="both"/>
                  </w:pPr>
                  <w:r w:rsidRPr="006C540F">
                    <w:rPr>
                      <w:b/>
                      <w:bCs/>
                    </w:rPr>
                    <w:lastRenderedPageBreak/>
                    <w:t>Fase Experimental:</w:t>
                  </w:r>
                  <w:r w:rsidRPr="006C540F">
                    <w:t xml:space="preserve"> Los estudiantes ejecutan dos pruebas empíricas rigurosas y tabulan los datos en una matriz técnica de observación:</w:t>
                  </w:r>
                </w:p>
                <w:p w14:paraId="56134C5D" w14:textId="77777777" w:rsidR="006C540F" w:rsidRPr="006C540F" w:rsidRDefault="006C540F" w:rsidP="006C540F">
                  <w:pPr>
                    <w:numPr>
                      <w:ilvl w:val="0"/>
                      <w:numId w:val="9"/>
                    </w:numPr>
                    <w:pBdr>
                      <w:top w:val="nil"/>
                      <w:left w:val="nil"/>
                      <w:bottom w:val="nil"/>
                      <w:right w:val="nil"/>
                      <w:between w:val="nil"/>
                    </w:pBdr>
                    <w:spacing w:before="150" w:after="150" w:line="300" w:lineRule="auto"/>
                    <w:jc w:val="both"/>
                  </w:pPr>
                  <w:r w:rsidRPr="006C540F">
                    <w:rPr>
                      <w:b/>
                      <w:bCs/>
                    </w:rPr>
                    <w:t>Prueba de Tenacidad y Textura:</w:t>
                  </w:r>
                  <w:r w:rsidRPr="006C540F">
                    <w:t xml:space="preserve"> Manipulan los materiales aplicando una fuerza controlada para determinar de forma cualitativa si el material es maleable/dúctil (se deforma sin romperse) o frágil (se pulveriza o fractura con facilidad).</w:t>
                  </w:r>
                </w:p>
                <w:p w14:paraId="14D8F09C" w14:textId="7399536F" w:rsidR="009A352A" w:rsidRPr="00063904" w:rsidRDefault="006C540F" w:rsidP="00936DA3">
                  <w:pPr>
                    <w:numPr>
                      <w:ilvl w:val="0"/>
                      <w:numId w:val="9"/>
                    </w:numPr>
                    <w:pBdr>
                      <w:top w:val="nil"/>
                      <w:left w:val="nil"/>
                      <w:bottom w:val="nil"/>
                      <w:right w:val="nil"/>
                      <w:between w:val="nil"/>
                    </w:pBdr>
                    <w:spacing w:before="150" w:after="150" w:line="300" w:lineRule="auto"/>
                    <w:jc w:val="both"/>
                  </w:pPr>
                  <w:r w:rsidRPr="006C540F">
                    <w:rPr>
                      <w:b/>
                      <w:bCs/>
                    </w:rPr>
                    <w:t>Prueba de Conductividad Eléctrica Analógica:</w:t>
                  </w:r>
                  <w:r w:rsidRPr="006C540F">
                    <w:t xml:space="preserve"> Utilizan un circuito básico cerrado (compuesto por una pila de 9V, tres cables de cobre con lagartos y un diodo LED). Colocan cada muestra entre los terminales del circuito y registran si el LED se enciende con alta intensidad, baja intensidad o si permanece apagado.</w:t>
                  </w:r>
                </w:p>
              </w:tc>
            </w:tr>
            <w:tr w:rsidR="009A352A" w:rsidRPr="00063904" w14:paraId="4E242832" w14:textId="77777777" w:rsidTr="009A352A">
              <w:tc>
                <w:tcPr>
                  <w:tcW w:w="226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6DA3C9B1" w14:textId="77777777" w:rsidR="009A352A" w:rsidRPr="00063904" w:rsidRDefault="009A352A" w:rsidP="009A352A">
                  <w:pPr>
                    <w:pBdr>
                      <w:top w:val="nil"/>
                      <w:left w:val="nil"/>
                      <w:bottom w:val="nil"/>
                      <w:right w:val="nil"/>
                      <w:between w:val="nil"/>
                    </w:pBdr>
                    <w:spacing w:before="150" w:after="150" w:line="300" w:lineRule="auto"/>
                    <w:rPr>
                      <w:b/>
                      <w:bCs/>
                    </w:rPr>
                  </w:pPr>
                  <w:r w:rsidRPr="00063904">
                    <w:rPr>
                      <w:b/>
                      <w:bCs/>
                    </w:rPr>
                    <w:lastRenderedPageBreak/>
                    <w:t>Reflexión y Contrastación</w:t>
                  </w:r>
                </w:p>
              </w:tc>
              <w:tc>
                <w:tcPr>
                  <w:tcW w:w="8111"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417D7053" w14:textId="61955B6A" w:rsidR="000326ED" w:rsidRPr="000326ED" w:rsidRDefault="000326ED" w:rsidP="000326ED">
                  <w:pPr>
                    <w:pBdr>
                      <w:top w:val="nil"/>
                      <w:left w:val="nil"/>
                      <w:bottom w:val="nil"/>
                      <w:right w:val="nil"/>
                      <w:between w:val="nil"/>
                    </w:pBdr>
                    <w:spacing w:before="150" w:after="150" w:line="300" w:lineRule="auto"/>
                    <w:jc w:val="both"/>
                  </w:pPr>
                  <w:r w:rsidRPr="000326ED">
                    <w:t xml:space="preserve">Cada subgrupo transcribe sus datos empíricos en una matriz comparativa unificada en la pizarra. La persona docente guía el análisis crítico confrontando los resultados de los equipos: </w:t>
                  </w:r>
                  <w:r w:rsidRPr="000326ED">
                    <w:rPr>
                      <w:i/>
                      <w:iCs/>
                    </w:rPr>
                    <w:t>¿Por qué todas las muestras de hierro y aluminio encendieron el LED, mientras que el carbón dejó el circuito inactivo? ¿Cómo se comportó el silicio?</w:t>
                  </w:r>
                </w:p>
                <w:p w14:paraId="044AFA98" w14:textId="222DC9F3" w:rsidR="000326ED" w:rsidRPr="000326ED" w:rsidRDefault="000326ED" w:rsidP="000326ED">
                  <w:pPr>
                    <w:pBdr>
                      <w:top w:val="nil"/>
                      <w:left w:val="nil"/>
                      <w:bottom w:val="nil"/>
                      <w:right w:val="nil"/>
                      <w:between w:val="nil"/>
                    </w:pBdr>
                    <w:spacing w:before="150" w:after="150" w:line="300" w:lineRule="auto"/>
                    <w:jc w:val="both"/>
                  </w:pPr>
                  <w:r w:rsidRPr="000326ED">
                    <w:t>La persona docente introduce la Tabla Periódica oficial e institucionaliza la división formal de los elementos químicos de acuerdo con los consensos de la IUPAC:</w:t>
                  </w:r>
                </w:p>
                <w:p w14:paraId="4B7C55E9" w14:textId="77777777" w:rsidR="000326ED" w:rsidRPr="000326ED" w:rsidRDefault="000326ED" w:rsidP="000326ED">
                  <w:pPr>
                    <w:numPr>
                      <w:ilvl w:val="0"/>
                      <w:numId w:val="10"/>
                    </w:numPr>
                    <w:pBdr>
                      <w:top w:val="nil"/>
                      <w:left w:val="nil"/>
                      <w:bottom w:val="nil"/>
                      <w:right w:val="nil"/>
                      <w:between w:val="nil"/>
                    </w:pBdr>
                    <w:spacing w:before="150" w:after="150" w:line="300" w:lineRule="auto"/>
                    <w:jc w:val="both"/>
                  </w:pPr>
                  <w:r w:rsidRPr="000326ED">
                    <w:rPr>
                      <w:b/>
                      <w:bCs/>
                    </w:rPr>
                    <w:t>Metales:</w:t>
                  </w:r>
                  <w:r w:rsidRPr="000326ED">
                    <w:t xml:space="preserve"> Ubicados a la izquierda y centro de la tabla; caracterizados por su brillo, alta conductividad, maleabilidad y tendencia a ceder electrones.</w:t>
                  </w:r>
                </w:p>
                <w:p w14:paraId="7BF8AA6D" w14:textId="77777777" w:rsidR="000326ED" w:rsidRPr="000326ED" w:rsidRDefault="000326ED" w:rsidP="000326ED">
                  <w:pPr>
                    <w:numPr>
                      <w:ilvl w:val="0"/>
                      <w:numId w:val="10"/>
                    </w:numPr>
                    <w:pBdr>
                      <w:top w:val="nil"/>
                      <w:left w:val="nil"/>
                      <w:bottom w:val="nil"/>
                      <w:right w:val="nil"/>
                      <w:between w:val="nil"/>
                    </w:pBdr>
                    <w:spacing w:before="150" w:after="150" w:line="300" w:lineRule="auto"/>
                    <w:jc w:val="both"/>
                  </w:pPr>
                  <w:r w:rsidRPr="000326ED">
                    <w:rPr>
                      <w:b/>
                      <w:bCs/>
                    </w:rPr>
                    <w:t>No metales:</w:t>
                  </w:r>
                  <w:r w:rsidRPr="000326ED">
                    <w:t xml:space="preserve"> Ubicados a la derecha de la tabla; opacos, frágiles en estado sólido, malos conductores y altamente electronegativos.</w:t>
                  </w:r>
                </w:p>
                <w:p w14:paraId="56C2BA08" w14:textId="77777777" w:rsidR="00940B64" w:rsidRDefault="000326ED" w:rsidP="000326ED">
                  <w:pPr>
                    <w:numPr>
                      <w:ilvl w:val="0"/>
                      <w:numId w:val="10"/>
                    </w:numPr>
                    <w:pBdr>
                      <w:top w:val="nil"/>
                      <w:left w:val="nil"/>
                      <w:bottom w:val="nil"/>
                      <w:right w:val="nil"/>
                      <w:between w:val="nil"/>
                    </w:pBdr>
                    <w:spacing w:before="150" w:after="150" w:line="300" w:lineRule="auto"/>
                    <w:jc w:val="both"/>
                  </w:pPr>
                  <w:r w:rsidRPr="000326ED">
                    <w:rPr>
                      <w:b/>
                      <w:bCs/>
                    </w:rPr>
                    <w:t>Metaloides:</w:t>
                  </w:r>
                  <w:r w:rsidRPr="000326ED">
                    <w:t xml:space="preserve"> Situados en la línea diagonal en forma de escalera; presentan propiedades intermedias y actúan como semiconductores según variables físicas como la temperatura.</w:t>
                  </w:r>
                </w:p>
                <w:p w14:paraId="51C8C35D" w14:textId="77777777" w:rsidR="002C15C2" w:rsidRDefault="002C15C2" w:rsidP="00940B64">
                  <w:pPr>
                    <w:pBdr>
                      <w:top w:val="nil"/>
                      <w:left w:val="nil"/>
                      <w:bottom w:val="nil"/>
                      <w:right w:val="nil"/>
                      <w:between w:val="nil"/>
                    </w:pBdr>
                    <w:spacing w:before="150" w:after="150" w:line="300" w:lineRule="auto"/>
                    <w:jc w:val="both"/>
                  </w:pPr>
                  <w:r w:rsidRPr="00C50185">
                    <w:rPr>
                      <w:lang w:val="en-US"/>
                    </w:rPr>
                    <w:lastRenderedPageBreak/>
                    <w:drawing>
                      <wp:inline distT="0" distB="0" distL="0" distR="0" wp14:anchorId="6BCDCD73" wp14:editId="56F65034">
                        <wp:extent cx="4241800" cy="2801129"/>
                        <wp:effectExtent l="0" t="0" r="6350" b="0"/>
                        <wp:docPr id="2881091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09103" name=""/>
                                <pic:cNvPicPr/>
                              </pic:nvPicPr>
                              <pic:blipFill>
                                <a:blip r:embed="rId8"/>
                                <a:stretch>
                                  <a:fillRect/>
                                </a:stretch>
                              </pic:blipFill>
                              <pic:spPr>
                                <a:xfrm>
                                  <a:off x="0" y="0"/>
                                  <a:ext cx="4256075" cy="2810555"/>
                                </a:xfrm>
                                <a:prstGeom prst="rect">
                                  <a:avLst/>
                                </a:prstGeom>
                              </pic:spPr>
                            </pic:pic>
                          </a:graphicData>
                        </a:graphic>
                      </wp:inline>
                    </w:drawing>
                  </w:r>
                </w:p>
                <w:p w14:paraId="0FE65405" w14:textId="426FB03C" w:rsidR="000326ED" w:rsidRPr="000326ED" w:rsidRDefault="000326ED" w:rsidP="00940B64">
                  <w:pPr>
                    <w:pBdr>
                      <w:top w:val="nil"/>
                      <w:left w:val="nil"/>
                      <w:bottom w:val="nil"/>
                      <w:right w:val="nil"/>
                      <w:between w:val="nil"/>
                    </w:pBdr>
                    <w:spacing w:before="150" w:after="150" w:line="300" w:lineRule="auto"/>
                    <w:jc w:val="both"/>
                  </w:pPr>
                  <w:r w:rsidRPr="000326ED">
                    <w:t>El estudiantado contrasta sus anotaciones iniciales de la fase de Focalización con la teoría científica expuesta, corrigiendo de manera guiada las inconsistencias sobre la relación entre la ubicación en la tabla periódica y el comportamiento macroscópico del material.</w:t>
                  </w:r>
                </w:p>
                <w:p w14:paraId="3F7D8A01" w14:textId="04D02DE5" w:rsidR="009A352A" w:rsidRPr="00063904" w:rsidRDefault="009A352A" w:rsidP="009A352A">
                  <w:pPr>
                    <w:pBdr>
                      <w:top w:val="nil"/>
                      <w:left w:val="nil"/>
                      <w:bottom w:val="nil"/>
                      <w:right w:val="nil"/>
                      <w:between w:val="nil"/>
                    </w:pBdr>
                    <w:spacing w:before="150" w:after="150" w:line="300" w:lineRule="auto"/>
                    <w:jc w:val="both"/>
                  </w:pPr>
                </w:p>
              </w:tc>
            </w:tr>
            <w:tr w:rsidR="009A352A" w:rsidRPr="00063904" w14:paraId="404F96D6" w14:textId="77777777" w:rsidTr="009A352A">
              <w:tc>
                <w:tcPr>
                  <w:tcW w:w="226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5C26EC37" w14:textId="77777777" w:rsidR="009A352A" w:rsidRPr="00063904" w:rsidRDefault="009A352A" w:rsidP="009A352A">
                  <w:pPr>
                    <w:pBdr>
                      <w:top w:val="nil"/>
                      <w:left w:val="nil"/>
                      <w:bottom w:val="nil"/>
                      <w:right w:val="nil"/>
                      <w:between w:val="nil"/>
                    </w:pBdr>
                    <w:spacing w:before="150" w:after="150" w:line="300" w:lineRule="auto"/>
                    <w:rPr>
                      <w:b/>
                      <w:bCs/>
                    </w:rPr>
                  </w:pPr>
                  <w:r w:rsidRPr="00063904">
                    <w:rPr>
                      <w:b/>
                      <w:bCs/>
                    </w:rPr>
                    <w:lastRenderedPageBreak/>
                    <w:t>Aplicación</w:t>
                  </w:r>
                </w:p>
              </w:tc>
              <w:tc>
                <w:tcPr>
                  <w:tcW w:w="8111"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4904B645" w14:textId="2A50F4CE" w:rsidR="00612791" w:rsidRPr="00612791" w:rsidRDefault="00612791" w:rsidP="00612791">
                  <w:pPr>
                    <w:pBdr>
                      <w:top w:val="nil"/>
                      <w:left w:val="nil"/>
                      <w:bottom w:val="nil"/>
                      <w:right w:val="nil"/>
                      <w:between w:val="nil"/>
                    </w:pBdr>
                    <w:spacing w:line="300" w:lineRule="auto"/>
                    <w:jc w:val="both"/>
                  </w:pPr>
                  <w:r w:rsidRPr="00612791">
                    <w:t>Cada estudiante trabaja utilizando la Tabla Periódica Interactiva del MEP</w:t>
                  </w:r>
                  <w:r>
                    <w:t>:</w:t>
                  </w:r>
                  <w:r w:rsidR="00A42A33">
                    <w:t xml:space="preserve"> </w:t>
                  </w:r>
                  <w:hyperlink r:id="rId9" w:history="1">
                    <w:r w:rsidR="00A42A33" w:rsidRPr="00A42A33">
                      <w:rPr>
                        <w:rStyle w:val="Hipervnculo"/>
                      </w:rPr>
                      <w:t xml:space="preserve">3D </w:t>
                    </w:r>
                  </w:hyperlink>
                  <w:hyperlink r:id="rId10" w:history="1">
                    <w:proofErr w:type="spellStart"/>
                    <w:r w:rsidR="00A42A33" w:rsidRPr="00A42A33">
                      <w:rPr>
                        <w:rStyle w:val="Hipervnculo"/>
                      </w:rPr>
                      <w:t>Periodic</w:t>
                    </w:r>
                    <w:proofErr w:type="spellEnd"/>
                  </w:hyperlink>
                  <w:hyperlink r:id="rId11" w:history="1">
                    <w:r w:rsidR="00A42A33" w:rsidRPr="00A42A33">
                      <w:rPr>
                        <w:rStyle w:val="Hipervnculo"/>
                      </w:rPr>
                      <w:t xml:space="preserve"> Table</w:t>
                    </w:r>
                  </w:hyperlink>
                  <w:r w:rsidRPr="00612791">
                    <w:t>,</w:t>
                  </w:r>
                  <w:r w:rsidR="00A42A33">
                    <w:t xml:space="preserve"> </w:t>
                  </w:r>
                  <w:r w:rsidRPr="00612791">
                    <w:t>aprovechando las funciones dinámicas y tridimensionales de este recurso tecnológico institucional. En este entorno digital, el estudiantado identifica y codifica, mediante un sistema estructurado de colores y símbolos, los diferentes elementos químicos esenciales para la nutrición humana que han sido estudiados en clase.</w:t>
                  </w:r>
                </w:p>
                <w:p w14:paraId="54D14ED4" w14:textId="77777777" w:rsidR="00612791" w:rsidRPr="00612791" w:rsidRDefault="00612791" w:rsidP="00612791">
                  <w:pPr>
                    <w:pBdr>
                      <w:top w:val="nil"/>
                      <w:left w:val="nil"/>
                      <w:bottom w:val="nil"/>
                      <w:right w:val="nil"/>
                      <w:between w:val="nil"/>
                    </w:pBdr>
                    <w:spacing w:line="300" w:lineRule="auto"/>
                    <w:jc w:val="both"/>
                  </w:pPr>
                  <w:r w:rsidRPr="00612791">
                    <w:t>Una vez realizada la clasificación digital, los estudiantes correlacionan directamente estos bioelementos con los ingredientes base de diversas recetas tradicionales de la cocina costarricense (como el gallo pinto, la olla de carne o las chorreadas). Como cierre del proceso, diseñan un mapa gastronómico-nutricional interactivo donde demuestran visualmente el aporte bioquímico de los platillos locales, justificando la importancia sociocultural y biológica de mantener una dieta balanceada basada en la producción agrícola y tradiciones de nuestro país.</w:t>
                  </w:r>
                </w:p>
                <w:p w14:paraId="5C40E2F4" w14:textId="33E09018" w:rsidR="009A352A" w:rsidRPr="00063904" w:rsidRDefault="009A352A" w:rsidP="009436C2">
                  <w:pPr>
                    <w:pBdr>
                      <w:top w:val="nil"/>
                      <w:left w:val="nil"/>
                      <w:bottom w:val="nil"/>
                      <w:right w:val="nil"/>
                      <w:between w:val="nil"/>
                    </w:pBdr>
                    <w:spacing w:line="300" w:lineRule="auto"/>
                    <w:jc w:val="both"/>
                  </w:pPr>
                </w:p>
              </w:tc>
            </w:tr>
          </w:tbl>
          <w:p w14:paraId="01C868D4" w14:textId="255AD041" w:rsidR="007D06AA" w:rsidRPr="009071BF" w:rsidRDefault="007D06AA" w:rsidP="009A5158">
            <w:pPr>
              <w:rPr>
                <w:rFonts w:cstheme="minorHAnsi"/>
              </w:rPr>
            </w:pPr>
          </w:p>
        </w:tc>
      </w:tr>
      <w:tr w:rsidR="007D06AA" w:rsidRPr="009071BF" w14:paraId="21FD4199" w14:textId="77777777" w:rsidTr="009A352A">
        <w:tc>
          <w:tcPr>
            <w:tcW w:w="10632" w:type="dxa"/>
            <w:gridSpan w:val="3"/>
          </w:tcPr>
          <w:p w14:paraId="782441CD" w14:textId="7B1FC61E" w:rsidR="007D06AA" w:rsidRPr="009071BF" w:rsidRDefault="0044288F" w:rsidP="0044288F">
            <w:pPr>
              <w:jc w:val="center"/>
              <w:rPr>
                <w:rFonts w:cstheme="minorHAnsi"/>
                <w:b/>
                <w:bCs/>
                <w:lang w:val="es-ES"/>
              </w:rPr>
            </w:pPr>
            <w:r w:rsidRPr="009071BF">
              <w:rPr>
                <w:rFonts w:cstheme="minorHAnsi"/>
                <w:b/>
                <w:bCs/>
                <w:lang w:val="es-ES"/>
              </w:rPr>
              <w:lastRenderedPageBreak/>
              <w:t>Descripción del r</w:t>
            </w:r>
            <w:r w:rsidR="007D06AA" w:rsidRPr="009071BF">
              <w:rPr>
                <w:rFonts w:cstheme="minorHAnsi"/>
                <w:b/>
                <w:bCs/>
                <w:lang w:val="es-ES"/>
              </w:rPr>
              <w:t>ecurso por utilizar</w:t>
            </w:r>
          </w:p>
        </w:tc>
      </w:tr>
      <w:tr w:rsidR="009071BF" w:rsidRPr="009071BF" w14:paraId="3355FC77" w14:textId="77777777" w:rsidTr="009A352A">
        <w:tc>
          <w:tcPr>
            <w:tcW w:w="10632" w:type="dxa"/>
            <w:gridSpan w:val="3"/>
          </w:tcPr>
          <w:p w14:paraId="5AD5EDE9" w14:textId="77777777" w:rsidR="00E30BF3" w:rsidRPr="00E30BF3" w:rsidRDefault="00E30BF3" w:rsidP="00E30BF3">
            <w:pPr>
              <w:spacing w:line="360" w:lineRule="auto"/>
              <w:ind w:left="720"/>
              <w:jc w:val="both"/>
              <w:rPr>
                <w:rFonts w:cstheme="minorHAnsi"/>
              </w:rPr>
            </w:pPr>
            <w:r w:rsidRPr="00E30BF3">
              <w:rPr>
                <w:rFonts w:cstheme="minorHAnsi"/>
              </w:rPr>
              <w:t xml:space="preserve">El recurso plantea un entorno integrado de </w:t>
            </w:r>
            <w:r w:rsidRPr="00E30BF3">
              <w:rPr>
                <w:rFonts w:cstheme="minorHAnsi"/>
                <w:b/>
                <w:bCs/>
              </w:rPr>
              <w:t>experimentación macroscópica analógica y modelado digital tridimensional</w:t>
            </w:r>
            <w:r w:rsidRPr="00E30BF3">
              <w:rPr>
                <w:rFonts w:cstheme="minorHAnsi"/>
              </w:rPr>
              <w:t>, estructurado para guiar al estudiantado desde la comprobación empírica de las propiedades de la materia (conductividad, maleabilidad y tenacidad) hasta su clasificación periódica formal. Su uso se extiende hacia la bioquímica cotidiana, empleando la herramienta interactiva para decodificar los bioelementos esenciales presentes en el patrimonio gastronómico de Costa Rica.</w:t>
            </w:r>
          </w:p>
          <w:p w14:paraId="5C14F2C3" w14:textId="77777777" w:rsidR="00E30BF3" w:rsidRPr="00E30BF3" w:rsidRDefault="00E30BF3" w:rsidP="00E30BF3">
            <w:pPr>
              <w:numPr>
                <w:ilvl w:val="0"/>
                <w:numId w:val="11"/>
              </w:numPr>
              <w:spacing w:line="360" w:lineRule="auto"/>
              <w:jc w:val="both"/>
              <w:rPr>
                <w:rFonts w:cstheme="minorHAnsi"/>
              </w:rPr>
            </w:pPr>
            <w:r w:rsidRPr="00E30BF3">
              <w:rPr>
                <w:rFonts w:cstheme="minorHAnsi"/>
                <w:b/>
                <w:bCs/>
              </w:rPr>
              <w:t>Nombre del recurso:</w:t>
            </w:r>
            <w:r w:rsidRPr="00E30BF3">
              <w:rPr>
                <w:rFonts w:cstheme="minorHAnsi"/>
              </w:rPr>
              <w:t xml:space="preserve"> Kit de Ensayo Físico "Propiedades de los Materiales" y la Plataforma Digital </w:t>
            </w:r>
            <w:r w:rsidRPr="00E30BF3">
              <w:rPr>
                <w:rFonts w:cstheme="minorHAnsi"/>
                <w:b/>
                <w:bCs/>
              </w:rPr>
              <w:t xml:space="preserve">3D </w:t>
            </w:r>
            <w:proofErr w:type="spellStart"/>
            <w:r w:rsidRPr="00E30BF3">
              <w:rPr>
                <w:rFonts w:cstheme="minorHAnsi"/>
                <w:b/>
                <w:bCs/>
              </w:rPr>
              <w:t>Periodic</w:t>
            </w:r>
            <w:proofErr w:type="spellEnd"/>
            <w:r w:rsidRPr="00E30BF3">
              <w:rPr>
                <w:rFonts w:cstheme="minorHAnsi"/>
                <w:b/>
                <w:bCs/>
              </w:rPr>
              <w:t xml:space="preserve"> Table</w:t>
            </w:r>
            <w:r w:rsidRPr="00E30BF3">
              <w:rPr>
                <w:rFonts w:cstheme="minorHAnsi"/>
              </w:rPr>
              <w:t xml:space="preserve"> del MEP.</w:t>
            </w:r>
          </w:p>
          <w:p w14:paraId="2AB20AFE" w14:textId="77777777" w:rsidR="00E30BF3" w:rsidRPr="00E30BF3" w:rsidRDefault="00E30BF3" w:rsidP="00E30BF3">
            <w:pPr>
              <w:numPr>
                <w:ilvl w:val="0"/>
                <w:numId w:val="11"/>
              </w:numPr>
              <w:spacing w:line="360" w:lineRule="auto"/>
              <w:jc w:val="both"/>
              <w:rPr>
                <w:rFonts w:cstheme="minorHAnsi"/>
              </w:rPr>
            </w:pPr>
            <w:r w:rsidRPr="00E30BF3">
              <w:rPr>
                <w:rFonts w:cstheme="minorHAnsi"/>
                <w:b/>
                <w:bCs/>
              </w:rPr>
              <w:t>¿Dónde se ubica y cómo funciona?:</w:t>
            </w:r>
          </w:p>
          <w:p w14:paraId="0B5C782F" w14:textId="77777777" w:rsidR="00E30BF3" w:rsidRPr="00E30BF3" w:rsidRDefault="00E30BF3" w:rsidP="00E30BF3">
            <w:pPr>
              <w:numPr>
                <w:ilvl w:val="1"/>
                <w:numId w:val="11"/>
              </w:numPr>
              <w:spacing w:line="360" w:lineRule="auto"/>
              <w:jc w:val="both"/>
              <w:rPr>
                <w:rFonts w:cstheme="minorHAnsi"/>
              </w:rPr>
            </w:pPr>
            <w:r w:rsidRPr="00E30BF3">
              <w:rPr>
                <w:rFonts w:cstheme="minorHAnsi"/>
                <w:b/>
                <w:bCs/>
              </w:rPr>
              <w:t>Ubicación física:</w:t>
            </w:r>
            <w:r w:rsidRPr="00E30BF3">
              <w:rPr>
                <w:rFonts w:cstheme="minorHAnsi"/>
              </w:rPr>
              <w:t xml:space="preserve"> Se opera directamente en las mesas de trabajo del aula o laboratorio, utilizando muestras seguras del entorno (hierro, aluminio, carbón, silicio o cuarzo) conectadas a un circuito cerrado de verificación eléctrica (pila de 9V, lagartos y diodo LED).</w:t>
            </w:r>
          </w:p>
          <w:p w14:paraId="757B689B" w14:textId="77777777" w:rsidR="00E30BF3" w:rsidRPr="00E30BF3" w:rsidRDefault="00E30BF3" w:rsidP="00E30BF3">
            <w:pPr>
              <w:numPr>
                <w:ilvl w:val="1"/>
                <w:numId w:val="11"/>
              </w:numPr>
              <w:spacing w:line="360" w:lineRule="auto"/>
              <w:jc w:val="both"/>
              <w:rPr>
                <w:rFonts w:cstheme="minorHAnsi"/>
              </w:rPr>
            </w:pPr>
            <w:r w:rsidRPr="00E30BF3">
              <w:rPr>
                <w:rFonts w:cstheme="minorHAnsi"/>
                <w:b/>
                <w:bCs/>
              </w:rPr>
              <w:t>Ubicación digital:</w:t>
            </w:r>
            <w:r w:rsidRPr="00E30BF3">
              <w:rPr>
                <w:rFonts w:cstheme="minorHAnsi"/>
              </w:rPr>
              <w:t xml:space="preserve"> Se ejecuta a través de los dispositivos institucionales (tabletas, computadoras o teléfonos celulares) mediante la aplicación interactiva oficial promovida por el MEP, la cual permite visualizar configuraciones, estados de agregación y perfiles biológicos de los elementos en un entorno dinámico.</w:t>
            </w:r>
          </w:p>
          <w:p w14:paraId="1A68F1BB" w14:textId="1D2AFE72" w:rsidR="00E30BF3" w:rsidRPr="00E30BF3" w:rsidRDefault="00E30BF3" w:rsidP="00E30BF3">
            <w:pPr>
              <w:spacing w:line="360" w:lineRule="auto"/>
              <w:ind w:left="720"/>
              <w:jc w:val="both"/>
              <w:rPr>
                <w:rFonts w:cstheme="minorHAnsi"/>
                <w:b/>
                <w:bCs/>
              </w:rPr>
            </w:pPr>
            <w:r>
              <w:rPr>
                <w:rFonts w:cstheme="minorHAnsi"/>
                <w:b/>
                <w:bCs/>
              </w:rPr>
              <w:t>¿</w:t>
            </w:r>
            <w:r w:rsidRPr="00E30BF3">
              <w:rPr>
                <w:rFonts w:cstheme="minorHAnsi"/>
                <w:b/>
                <w:bCs/>
              </w:rPr>
              <w:t>En qué contexto educativo</w:t>
            </w:r>
            <w:r>
              <w:rPr>
                <w:rFonts w:cstheme="minorHAnsi"/>
                <w:b/>
                <w:bCs/>
              </w:rPr>
              <w:t>?</w:t>
            </w:r>
          </w:p>
          <w:p w14:paraId="470E4A4E" w14:textId="77777777" w:rsidR="00E30BF3" w:rsidRPr="00E30BF3" w:rsidRDefault="00E30BF3" w:rsidP="00E30BF3">
            <w:pPr>
              <w:spacing w:line="360" w:lineRule="auto"/>
              <w:ind w:left="720"/>
              <w:jc w:val="both"/>
              <w:rPr>
                <w:rFonts w:cstheme="minorHAnsi"/>
              </w:rPr>
            </w:pPr>
            <w:r w:rsidRPr="00E30BF3">
              <w:rPr>
                <w:rFonts w:cstheme="minorHAnsi"/>
              </w:rPr>
              <w:t>Para responder con equidad a los diferentes escenarios de conectividad e infraestructura tecnológica de los centros educativos del país, las actividades se desglosan de la siguiente manera:</w:t>
            </w:r>
          </w:p>
          <w:p w14:paraId="25A9DCA2" w14:textId="77777777" w:rsidR="00E30BF3" w:rsidRPr="00E30BF3" w:rsidRDefault="00E30BF3" w:rsidP="00E30BF3">
            <w:pPr>
              <w:numPr>
                <w:ilvl w:val="0"/>
                <w:numId w:val="12"/>
              </w:numPr>
              <w:spacing w:line="360" w:lineRule="auto"/>
              <w:jc w:val="both"/>
              <w:rPr>
                <w:rFonts w:cstheme="minorHAnsi"/>
              </w:rPr>
            </w:pPr>
            <w:r w:rsidRPr="00E30BF3">
              <w:rPr>
                <w:rFonts w:cstheme="minorHAnsi"/>
                <w:b/>
                <w:bCs/>
              </w:rPr>
              <w:t>Actividad sin apoyo de la tecnología:</w:t>
            </w:r>
            <w:r w:rsidRPr="00E30BF3">
              <w:rPr>
                <w:rFonts w:cstheme="minorHAnsi"/>
              </w:rPr>
              <w:t xml:space="preserve"> En subgrupos, los estudiantes manipulan físicamente las muestras de hierro, aluminio y carbón del kit. Realizan la prueba de tenacidad aplicando fuerza controlada y arman manualmente el circuito eléctrico analógico con la pila de 9V para clasificar los materiales en conductores o aislantes, registrando los datos en una matriz física impresa.</w:t>
            </w:r>
          </w:p>
          <w:p w14:paraId="0081EE33" w14:textId="77777777" w:rsidR="00E30BF3" w:rsidRPr="00E30BF3" w:rsidRDefault="00E30BF3" w:rsidP="00E30BF3">
            <w:pPr>
              <w:numPr>
                <w:ilvl w:val="0"/>
                <w:numId w:val="12"/>
              </w:numPr>
              <w:spacing w:line="360" w:lineRule="auto"/>
              <w:jc w:val="both"/>
              <w:rPr>
                <w:rFonts w:cstheme="minorHAnsi"/>
              </w:rPr>
            </w:pPr>
            <w:r w:rsidRPr="00E30BF3">
              <w:rPr>
                <w:rFonts w:cstheme="minorHAnsi"/>
                <w:b/>
                <w:bCs/>
              </w:rPr>
              <w:t>Actividad con apoyo de la tecnología:</w:t>
            </w:r>
            <w:r w:rsidRPr="00E30BF3">
              <w:rPr>
                <w:rFonts w:cstheme="minorHAnsi"/>
              </w:rPr>
              <w:t xml:space="preserve"> Los subgrupos complementan la práctica analógica utilizando simuladores virtuales de enlace químico alojados en el portal </w:t>
            </w:r>
            <w:proofErr w:type="spellStart"/>
            <w:r w:rsidRPr="00E30BF3">
              <w:rPr>
                <w:rFonts w:cstheme="minorHAnsi"/>
              </w:rPr>
              <w:t>Educatico</w:t>
            </w:r>
            <w:proofErr w:type="spellEnd"/>
            <w:r w:rsidRPr="00E30BF3">
              <w:rPr>
                <w:rFonts w:cstheme="minorHAnsi"/>
              </w:rPr>
              <w:t xml:space="preserve">. Modifican variables a nivel atómico para observar cómo el "mar de electrones" de los metales facilita el paso de la corriente, en contraste con la </w:t>
            </w:r>
            <w:r w:rsidRPr="00E30BF3">
              <w:rPr>
                <w:rFonts w:cstheme="minorHAnsi"/>
              </w:rPr>
              <w:lastRenderedPageBreak/>
              <w:t>rigidez de las redes covalentes de los no metales y el comportamiento intermedio de los metaloides ante cambios de temperatura.</w:t>
            </w:r>
          </w:p>
          <w:p w14:paraId="139BC89C" w14:textId="77777777" w:rsidR="00E30BF3" w:rsidRPr="00E30BF3" w:rsidRDefault="00E30BF3" w:rsidP="00E30BF3">
            <w:pPr>
              <w:spacing w:line="360" w:lineRule="auto"/>
              <w:ind w:left="720"/>
              <w:jc w:val="both"/>
              <w:rPr>
                <w:rFonts w:cstheme="minorHAnsi"/>
                <w:b/>
                <w:bCs/>
              </w:rPr>
            </w:pPr>
            <w:r w:rsidRPr="00E30BF3">
              <w:rPr>
                <w:rFonts w:cstheme="minorHAnsi"/>
                <w:b/>
                <w:bCs/>
              </w:rPr>
              <w:t>Aprendizaje Esperado: Ubicación periódica de los bioelementos en la gastronomía local</w:t>
            </w:r>
          </w:p>
          <w:p w14:paraId="5A6BD759" w14:textId="77777777" w:rsidR="00E30BF3" w:rsidRPr="00E30BF3" w:rsidRDefault="00E30BF3" w:rsidP="00E30BF3">
            <w:pPr>
              <w:numPr>
                <w:ilvl w:val="0"/>
                <w:numId w:val="13"/>
              </w:numPr>
              <w:spacing w:line="360" w:lineRule="auto"/>
              <w:jc w:val="both"/>
              <w:rPr>
                <w:rFonts w:cstheme="minorHAnsi"/>
              </w:rPr>
            </w:pPr>
            <w:r w:rsidRPr="00E30BF3">
              <w:rPr>
                <w:rFonts w:cstheme="minorHAnsi"/>
                <w:b/>
                <w:bCs/>
              </w:rPr>
              <w:t>Actividad sin apoyo de la tecnología:</w:t>
            </w:r>
            <w:r w:rsidRPr="00E30BF3">
              <w:rPr>
                <w:rFonts w:cstheme="minorHAnsi"/>
              </w:rPr>
              <w:t xml:space="preserve"> Utilizando una Tabla Periódica oficial impresa, los estudiantes ubican los elementos químicos que forman parte de los nutrientes esenciales estudiados. Posteriormente, en una ficha de trabajo física titulada "El Plato de mi Tierra", dibujan recetas tradicionales (como la olla de carne o el gallo pinto) y trazan flechas manuscritas que asocian cada ingrediente con el símbolo químico correcto del bioelemento que aporta.</w:t>
            </w:r>
          </w:p>
          <w:p w14:paraId="76314C08" w14:textId="70CE9E7D" w:rsidR="00E30BF3" w:rsidRPr="00E30BF3" w:rsidRDefault="00E30BF3" w:rsidP="00E30BF3">
            <w:pPr>
              <w:numPr>
                <w:ilvl w:val="0"/>
                <w:numId w:val="13"/>
              </w:numPr>
              <w:spacing w:line="360" w:lineRule="auto"/>
              <w:jc w:val="both"/>
              <w:rPr>
                <w:rFonts w:cstheme="minorHAnsi"/>
              </w:rPr>
            </w:pPr>
            <w:r w:rsidRPr="00E30BF3">
              <w:rPr>
                <w:rFonts w:cstheme="minorHAnsi"/>
                <w:b/>
                <w:bCs/>
              </w:rPr>
              <w:t>Actividad con apoyo de la tecnología:</w:t>
            </w:r>
            <w:r w:rsidRPr="00E30BF3">
              <w:rPr>
                <w:rFonts w:cstheme="minorHAnsi"/>
              </w:rPr>
              <w:t xml:space="preserve"> El estudiantado ingresa de forma individual o en parejas a la aplicación </w:t>
            </w:r>
            <w:r w:rsidRPr="00E30BF3">
              <w:rPr>
                <w:rFonts w:cstheme="minorHAnsi"/>
                <w:b/>
                <w:bCs/>
              </w:rPr>
              <w:t xml:space="preserve">3D </w:t>
            </w:r>
            <w:proofErr w:type="spellStart"/>
            <w:r w:rsidRPr="00E30BF3">
              <w:rPr>
                <w:rFonts w:cstheme="minorHAnsi"/>
                <w:b/>
                <w:bCs/>
              </w:rPr>
              <w:t>Periodic</w:t>
            </w:r>
            <w:proofErr w:type="spellEnd"/>
            <w:r w:rsidRPr="00E30BF3">
              <w:rPr>
                <w:rFonts w:cstheme="minorHAnsi"/>
                <w:b/>
                <w:bCs/>
              </w:rPr>
              <w:t xml:space="preserve"> Table</w:t>
            </w:r>
            <w:r w:rsidRPr="00E30BF3">
              <w:rPr>
                <w:rFonts w:cstheme="minorHAnsi"/>
              </w:rPr>
              <w:t xml:space="preserve"> del MEP</w:t>
            </w:r>
            <w:r w:rsidR="00643D17">
              <w:rPr>
                <w:rFonts w:cstheme="minorHAnsi"/>
              </w:rPr>
              <w:t xml:space="preserve">: </w:t>
            </w:r>
            <w:hyperlink r:id="rId12" w:history="1">
              <w:r w:rsidR="00643D17" w:rsidRPr="00A42A33">
                <w:rPr>
                  <w:rStyle w:val="Hipervnculo"/>
                </w:rPr>
                <w:t xml:space="preserve">3D </w:t>
              </w:r>
            </w:hyperlink>
            <w:hyperlink r:id="rId13" w:history="1">
              <w:proofErr w:type="spellStart"/>
              <w:r w:rsidR="00643D17" w:rsidRPr="00A42A33">
                <w:rPr>
                  <w:rStyle w:val="Hipervnculo"/>
                </w:rPr>
                <w:t>Periodic</w:t>
              </w:r>
              <w:proofErr w:type="spellEnd"/>
            </w:hyperlink>
            <w:hyperlink r:id="rId14" w:history="1">
              <w:r w:rsidR="00643D17" w:rsidRPr="00A42A33">
                <w:rPr>
                  <w:rStyle w:val="Hipervnculo"/>
                </w:rPr>
                <w:t xml:space="preserve"> Table</w:t>
              </w:r>
            </w:hyperlink>
            <w:r w:rsidRPr="00E30BF3">
              <w:rPr>
                <w:rFonts w:cstheme="minorHAnsi"/>
              </w:rPr>
              <w:t xml:space="preserve">. Utilizan los filtros interactivos para aislar los elementos esenciales de la nutrición humana y analizar sus propiedades tridimensionales. Con estos datos, diseñan de forma colaborativa en </w:t>
            </w:r>
            <w:proofErr w:type="spellStart"/>
            <w:r w:rsidRPr="00E30BF3">
              <w:rPr>
                <w:rFonts w:cstheme="minorHAnsi"/>
              </w:rPr>
              <w:t>Canva</w:t>
            </w:r>
            <w:proofErr w:type="spellEnd"/>
            <w:r w:rsidRPr="00E30BF3">
              <w:rPr>
                <w:rFonts w:cstheme="minorHAnsi"/>
              </w:rPr>
              <w:t xml:space="preserve"> o Microsoft </w:t>
            </w:r>
            <w:proofErr w:type="spellStart"/>
            <w:r w:rsidRPr="00E30BF3">
              <w:rPr>
                <w:rFonts w:cstheme="minorHAnsi"/>
              </w:rPr>
              <w:t>Teams</w:t>
            </w:r>
            <w:proofErr w:type="spellEnd"/>
            <w:r w:rsidRPr="00E30BF3">
              <w:rPr>
                <w:rFonts w:cstheme="minorHAnsi"/>
              </w:rPr>
              <w:t xml:space="preserve"> un mapa gastronómico-nutricional interactivo que vincula las coordenadas periódicas (grupos y períodos) de los bioelementos con recetas típicas de la cocina costarricense, justificando su valor sociocultural.</w:t>
            </w:r>
          </w:p>
          <w:p w14:paraId="03F04364" w14:textId="630E1F87" w:rsidR="009071BF" w:rsidRPr="00AB4776" w:rsidRDefault="009071BF" w:rsidP="005132CC">
            <w:pPr>
              <w:spacing w:line="360" w:lineRule="auto"/>
              <w:ind w:left="720"/>
              <w:jc w:val="both"/>
              <w:rPr>
                <w:rFonts w:cstheme="minorHAnsi"/>
              </w:rPr>
            </w:pPr>
          </w:p>
        </w:tc>
      </w:tr>
      <w:tr w:rsidR="007D06AA" w:rsidRPr="009071BF" w14:paraId="6097C334" w14:textId="77777777" w:rsidTr="009A352A">
        <w:tc>
          <w:tcPr>
            <w:tcW w:w="10632" w:type="dxa"/>
            <w:gridSpan w:val="3"/>
          </w:tcPr>
          <w:p w14:paraId="45FB9BE0" w14:textId="2FD6EC70" w:rsidR="007D06AA" w:rsidRPr="009071BF" w:rsidRDefault="007D06AA" w:rsidP="00410C4D">
            <w:pPr>
              <w:jc w:val="center"/>
              <w:rPr>
                <w:rFonts w:cstheme="minorHAnsi"/>
                <w:b/>
                <w:bCs/>
                <w:lang w:val="es-ES"/>
              </w:rPr>
            </w:pPr>
            <w:r w:rsidRPr="009071BF">
              <w:rPr>
                <w:rFonts w:cstheme="minorHAnsi"/>
                <w:b/>
                <w:bCs/>
                <w:lang w:val="es-ES"/>
              </w:rPr>
              <w:lastRenderedPageBreak/>
              <w:t>Recursos</w:t>
            </w:r>
            <w:r w:rsidR="009A5158" w:rsidRPr="009071BF">
              <w:rPr>
                <w:rFonts w:cstheme="minorHAnsi"/>
                <w:b/>
                <w:bCs/>
                <w:lang w:val="es-ES"/>
              </w:rPr>
              <w:t xml:space="preserve"> complementarios</w:t>
            </w:r>
          </w:p>
        </w:tc>
      </w:tr>
      <w:tr w:rsidR="007D06AA" w:rsidRPr="009071BF" w14:paraId="5CEE6871" w14:textId="77777777" w:rsidTr="009A352A">
        <w:tc>
          <w:tcPr>
            <w:tcW w:w="10632" w:type="dxa"/>
            <w:gridSpan w:val="3"/>
          </w:tcPr>
          <w:p w14:paraId="4AF16B84" w14:textId="77777777" w:rsidR="002419EF" w:rsidRPr="002419EF" w:rsidRDefault="002419EF" w:rsidP="002419EF">
            <w:pPr>
              <w:spacing w:line="360" w:lineRule="auto"/>
              <w:jc w:val="both"/>
              <w:rPr>
                <w:rFonts w:cstheme="minorHAnsi"/>
                <w:b/>
                <w:bCs/>
              </w:rPr>
            </w:pPr>
            <w:r w:rsidRPr="002419EF">
              <w:rPr>
                <w:rFonts w:cstheme="minorHAnsi"/>
                <w:b/>
                <w:bCs/>
              </w:rPr>
              <w:t>Material complementario</w:t>
            </w:r>
          </w:p>
          <w:p w14:paraId="2AB68DAE" w14:textId="658DB12E" w:rsidR="002419EF" w:rsidRPr="002419EF" w:rsidRDefault="002419EF" w:rsidP="002419EF">
            <w:pPr>
              <w:numPr>
                <w:ilvl w:val="0"/>
                <w:numId w:val="14"/>
              </w:numPr>
              <w:spacing w:line="360" w:lineRule="auto"/>
              <w:jc w:val="both"/>
              <w:rPr>
                <w:rFonts w:cstheme="minorHAnsi"/>
              </w:rPr>
            </w:pPr>
            <w:r w:rsidRPr="002419EF">
              <w:rPr>
                <w:rFonts w:cstheme="minorHAnsi"/>
              </w:rPr>
              <w:t xml:space="preserve">Enlaces web y plataformas digitales: </w:t>
            </w:r>
            <w:r w:rsidRPr="002419EF">
              <w:rPr>
                <w:rFonts w:cstheme="minorHAnsi"/>
                <w:i/>
                <w:iCs/>
              </w:rPr>
              <w:t xml:space="preserve">Portal </w:t>
            </w:r>
            <w:proofErr w:type="spellStart"/>
            <w:r w:rsidRPr="002419EF">
              <w:rPr>
                <w:rFonts w:cstheme="minorHAnsi"/>
                <w:i/>
                <w:iCs/>
              </w:rPr>
              <w:t>Educatico</w:t>
            </w:r>
            <w:proofErr w:type="spellEnd"/>
            <w:r w:rsidRPr="002419EF">
              <w:rPr>
                <w:rFonts w:cstheme="minorHAnsi"/>
                <w:i/>
                <w:iCs/>
              </w:rPr>
              <w:t xml:space="preserve"> (MEP):</w:t>
            </w:r>
            <w:r w:rsidRPr="002419EF">
              <w:rPr>
                <w:rFonts w:cstheme="minorHAnsi"/>
              </w:rPr>
              <w:t xml:space="preserve"> Enlace de acceso y descarga de la herramienta institucional 3D </w:t>
            </w:r>
            <w:proofErr w:type="spellStart"/>
            <w:r w:rsidRPr="002419EF">
              <w:rPr>
                <w:rFonts w:cstheme="minorHAnsi"/>
              </w:rPr>
              <w:t>Periodic</w:t>
            </w:r>
            <w:proofErr w:type="spellEnd"/>
            <w:r w:rsidRPr="002419EF">
              <w:rPr>
                <w:rFonts w:cstheme="minorHAnsi"/>
              </w:rPr>
              <w:t xml:space="preserve"> Table</w:t>
            </w:r>
            <w:r>
              <w:rPr>
                <w:rFonts w:cstheme="minorHAnsi"/>
              </w:rPr>
              <w:t xml:space="preserve">: </w:t>
            </w:r>
            <w:hyperlink r:id="rId15" w:history="1">
              <w:r w:rsidRPr="00A42A33">
                <w:rPr>
                  <w:rStyle w:val="Hipervnculo"/>
                </w:rPr>
                <w:t xml:space="preserve">3D </w:t>
              </w:r>
            </w:hyperlink>
            <w:hyperlink r:id="rId16" w:history="1">
              <w:proofErr w:type="spellStart"/>
              <w:r w:rsidRPr="00A42A33">
                <w:rPr>
                  <w:rStyle w:val="Hipervnculo"/>
                </w:rPr>
                <w:t>Periodic</w:t>
              </w:r>
              <w:proofErr w:type="spellEnd"/>
            </w:hyperlink>
            <w:hyperlink r:id="rId17" w:history="1">
              <w:r w:rsidRPr="00A42A33">
                <w:rPr>
                  <w:rStyle w:val="Hipervnculo"/>
                </w:rPr>
                <w:t xml:space="preserve"> Table</w:t>
              </w:r>
            </w:hyperlink>
            <w:r w:rsidRPr="002419EF">
              <w:rPr>
                <w:rFonts w:cstheme="minorHAnsi"/>
              </w:rPr>
              <w:t xml:space="preserve"> y sus guías de mediación tecnológica para el abordaje dinámico de la tabla periódica.</w:t>
            </w:r>
          </w:p>
          <w:p w14:paraId="3866272D" w14:textId="77777777" w:rsidR="002419EF" w:rsidRPr="002419EF" w:rsidRDefault="002419EF" w:rsidP="002419EF">
            <w:pPr>
              <w:spacing w:line="360" w:lineRule="auto"/>
              <w:jc w:val="both"/>
              <w:rPr>
                <w:rFonts w:cstheme="minorHAnsi"/>
                <w:b/>
                <w:bCs/>
              </w:rPr>
            </w:pPr>
            <w:r w:rsidRPr="002419EF">
              <w:rPr>
                <w:rFonts w:cstheme="minorHAnsi"/>
                <w:b/>
                <w:bCs/>
              </w:rPr>
              <w:t>Material de refuerzo para la casa</w:t>
            </w:r>
          </w:p>
          <w:p w14:paraId="41F9B074" w14:textId="13E4C2E1" w:rsidR="002419EF" w:rsidRPr="002419EF" w:rsidRDefault="002419EF" w:rsidP="002419EF">
            <w:pPr>
              <w:numPr>
                <w:ilvl w:val="0"/>
                <w:numId w:val="15"/>
              </w:numPr>
              <w:spacing w:line="360" w:lineRule="auto"/>
              <w:jc w:val="both"/>
              <w:rPr>
                <w:rFonts w:cstheme="minorHAnsi"/>
              </w:rPr>
            </w:pPr>
            <w:r w:rsidRPr="002419EF">
              <w:rPr>
                <w:rFonts w:cstheme="minorHAnsi"/>
              </w:rPr>
              <w:t xml:space="preserve">La Auditoría Química de la Cocina: Ficha de trabajo autónomo portable. El estudiante debe inspeccionar junto a su familia un utensilio de cocina (ej. un sartén de hierro o una olla de aluminio) y un ingrediente de una comida tradicional del hogar (ej. frijoles o bananos). En su cuaderno de química, clasificará el material del utensilio dentro de los bloques de la tabla periódica y anotará el símbolo químico del bioelemento que aporta el </w:t>
            </w:r>
            <w:r w:rsidRPr="001445A4">
              <w:rPr>
                <w:rFonts w:cstheme="minorHAnsi"/>
              </w:rPr>
              <w:t>alimento (</w:t>
            </w:r>
            <w:proofErr w:type="spellStart"/>
            <w:r w:rsidRPr="001445A4">
              <w:rPr>
                <w:rFonts w:cstheme="minorHAnsi"/>
              </w:rPr>
              <w:t>ej</w:t>
            </w:r>
            <w:proofErr w:type="spellEnd"/>
            <w:r w:rsidR="001445A4">
              <w:rPr>
                <w:rFonts w:cstheme="minorHAnsi"/>
              </w:rPr>
              <w:t xml:space="preserve">: </w:t>
            </w:r>
            <w:r w:rsidRPr="001445A4">
              <w:rPr>
                <w:rFonts w:cstheme="minorHAnsi"/>
              </w:rPr>
              <w:t>Fe o K),</w:t>
            </w:r>
            <w:r w:rsidRPr="002419EF">
              <w:rPr>
                <w:rFonts w:cstheme="minorHAnsi"/>
              </w:rPr>
              <w:t xml:space="preserve"> aplicando rigurosamente las normas IUPAC de escritura.</w:t>
            </w:r>
          </w:p>
          <w:p w14:paraId="22F33A71" w14:textId="77777777" w:rsidR="002419EF" w:rsidRPr="002419EF" w:rsidRDefault="002419EF" w:rsidP="002419EF">
            <w:pPr>
              <w:spacing w:line="360" w:lineRule="auto"/>
              <w:jc w:val="both"/>
              <w:rPr>
                <w:rFonts w:cstheme="minorHAnsi"/>
                <w:b/>
                <w:bCs/>
              </w:rPr>
            </w:pPr>
            <w:r w:rsidRPr="002419EF">
              <w:rPr>
                <w:rFonts w:cstheme="minorHAnsi"/>
                <w:b/>
                <w:bCs/>
              </w:rPr>
              <w:t>Bancos de ítems complementarios</w:t>
            </w:r>
          </w:p>
          <w:p w14:paraId="6815D4E5" w14:textId="77777777" w:rsidR="002419EF" w:rsidRPr="002419EF" w:rsidRDefault="002419EF" w:rsidP="002419EF">
            <w:pPr>
              <w:spacing w:line="360" w:lineRule="auto"/>
              <w:jc w:val="both"/>
              <w:rPr>
                <w:rFonts w:cstheme="minorHAnsi"/>
              </w:rPr>
            </w:pPr>
            <w:r w:rsidRPr="002419EF">
              <w:rPr>
                <w:rFonts w:cstheme="minorHAnsi"/>
              </w:rPr>
              <w:t>Reactivo estructurado bajo las especificaciones técnicas de la Dirección de Gestión y Evaluación de la Calidad (DGEC) para la Prueba Nacional Estandarizada:</w:t>
            </w:r>
          </w:p>
          <w:p w14:paraId="53DDABDD" w14:textId="77777777" w:rsidR="00644D97" w:rsidRPr="00644D97" w:rsidRDefault="00644D97" w:rsidP="00644D97">
            <w:pPr>
              <w:spacing w:after="160" w:line="360" w:lineRule="auto"/>
              <w:rPr>
                <w:rFonts w:cstheme="minorHAnsi"/>
              </w:rPr>
            </w:pPr>
            <w:r w:rsidRPr="00644D97">
              <w:rPr>
                <w:rFonts w:cstheme="minorHAnsi"/>
              </w:rPr>
              <w:lastRenderedPageBreak/>
              <w:t>Considere la siguiente información:</w:t>
            </w:r>
          </w:p>
          <w:p w14:paraId="7A17225C" w14:textId="77777777" w:rsidR="00644D97" w:rsidRPr="006A4EC2" w:rsidRDefault="00644D97" w:rsidP="00644D97">
            <w:pPr>
              <w:spacing w:after="160" w:line="360" w:lineRule="auto"/>
            </w:pPr>
            <w:r w:rsidRPr="006A4EC2">
              <w:t>Un grupo de estudiantes analiza tres elementos de la Tabla Periódica en el laboratorio de Química. Durante el análisis, registran las siguientes observaciones sobre las propiedades de cada muestra:</w:t>
            </w:r>
          </w:p>
          <w:p w14:paraId="648E24E5" w14:textId="77777777" w:rsidR="00644D97" w:rsidRPr="006A4EC2" w:rsidRDefault="00644D97" w:rsidP="00644D97">
            <w:pPr>
              <w:numPr>
                <w:ilvl w:val="0"/>
                <w:numId w:val="19"/>
              </w:numPr>
              <w:spacing w:after="160" w:line="360" w:lineRule="auto"/>
            </w:pPr>
            <w:r w:rsidRPr="006A4EC2">
              <w:rPr>
                <w:b/>
                <w:bCs/>
              </w:rPr>
              <w:t>Elemento 1:</w:t>
            </w:r>
            <w:r w:rsidRPr="006A4EC2">
              <w:t xml:space="preserve"> Se ubica a la izquierda de la tabla periódica, es maleable, presenta un brillo característico y es un excelente conductor térmico.</w:t>
            </w:r>
          </w:p>
          <w:p w14:paraId="3C2A6099" w14:textId="77777777" w:rsidR="00644D97" w:rsidRPr="006A4EC2" w:rsidRDefault="00644D97" w:rsidP="00644D97">
            <w:pPr>
              <w:numPr>
                <w:ilvl w:val="0"/>
                <w:numId w:val="19"/>
              </w:numPr>
              <w:spacing w:after="160" w:line="360" w:lineRule="auto"/>
            </w:pPr>
            <w:r w:rsidRPr="006A4EC2">
              <w:rPr>
                <w:b/>
                <w:bCs/>
              </w:rPr>
              <w:t>Elemento 2:</w:t>
            </w:r>
            <w:r w:rsidRPr="006A4EC2">
              <w:t xml:space="preserve"> Se ubica en la línea diagonal ("escalera") que divide la tabla. Es un sólido opaco que incrementa su conductividad al aumentar la temperatura (semiconductor).</w:t>
            </w:r>
          </w:p>
          <w:p w14:paraId="40C8ADA4" w14:textId="77777777" w:rsidR="00644D97" w:rsidRPr="006A4EC2" w:rsidRDefault="00644D97" w:rsidP="00644D97">
            <w:pPr>
              <w:numPr>
                <w:ilvl w:val="0"/>
                <w:numId w:val="19"/>
              </w:numPr>
              <w:spacing w:after="160" w:line="360" w:lineRule="auto"/>
            </w:pPr>
            <w:r w:rsidRPr="006A4EC2">
              <w:rPr>
                <w:b/>
                <w:bCs/>
              </w:rPr>
              <w:t>Elemento 3:</w:t>
            </w:r>
            <w:r w:rsidRPr="006A4EC2">
              <w:t xml:space="preserve"> Se ubica a la derecha de la tabla periódica, es quebradizo en estado sólido y es un mal conductor de la electricidad.</w:t>
            </w:r>
          </w:p>
          <w:p w14:paraId="6DBA412B" w14:textId="77777777" w:rsidR="00644D97" w:rsidRPr="006A4EC2" w:rsidRDefault="00644D97" w:rsidP="00644D97">
            <w:pPr>
              <w:spacing w:after="160" w:line="360" w:lineRule="auto"/>
            </w:pPr>
            <w:r w:rsidRPr="006A4EC2">
              <w:t>De acuerdo con la información anterior, ¿cuál es la clasificación correcta para los elementos 1, 2 y 3, respectivamente?</w:t>
            </w:r>
          </w:p>
          <w:p w14:paraId="1D631199" w14:textId="77777777" w:rsidR="00644D97" w:rsidRPr="006A4EC2" w:rsidRDefault="00644D97" w:rsidP="00644D97">
            <w:pPr>
              <w:spacing w:after="160" w:line="360" w:lineRule="auto"/>
              <w:ind w:left="720"/>
            </w:pPr>
            <w:r w:rsidRPr="006A4EC2">
              <w:rPr>
                <w:b/>
                <w:bCs/>
              </w:rPr>
              <w:t>A)</w:t>
            </w:r>
            <w:r w:rsidRPr="006A4EC2">
              <w:t xml:space="preserve"> Metal, metaloide y no metal.</w:t>
            </w:r>
          </w:p>
          <w:p w14:paraId="7CA6E189" w14:textId="77777777" w:rsidR="00644D97" w:rsidRPr="006A4EC2" w:rsidRDefault="00644D97" w:rsidP="00644D97">
            <w:pPr>
              <w:spacing w:after="160" w:line="360" w:lineRule="auto"/>
              <w:ind w:left="720"/>
            </w:pPr>
            <w:r w:rsidRPr="006A4EC2">
              <w:rPr>
                <w:b/>
                <w:bCs/>
              </w:rPr>
              <w:t>B)</w:t>
            </w:r>
            <w:r w:rsidRPr="006A4EC2">
              <w:t xml:space="preserve"> No metal, metaloide y metal.</w:t>
            </w:r>
          </w:p>
          <w:p w14:paraId="29274580" w14:textId="77777777" w:rsidR="00644D97" w:rsidRPr="006A4EC2" w:rsidRDefault="00644D97" w:rsidP="00644D97">
            <w:pPr>
              <w:spacing w:after="160" w:line="360" w:lineRule="auto"/>
              <w:ind w:left="720"/>
            </w:pPr>
            <w:r w:rsidRPr="006A4EC2">
              <w:rPr>
                <w:b/>
                <w:bCs/>
              </w:rPr>
              <w:t>C)</w:t>
            </w:r>
            <w:r w:rsidRPr="006A4EC2">
              <w:t xml:space="preserve"> Metal, no metal y metaloide.</w:t>
            </w:r>
          </w:p>
          <w:p w14:paraId="62A1F55F" w14:textId="77777777" w:rsidR="00644D97" w:rsidRPr="006A4EC2" w:rsidRDefault="00644D97" w:rsidP="00644D97">
            <w:pPr>
              <w:spacing w:after="160" w:line="360" w:lineRule="auto"/>
              <w:ind w:left="720"/>
            </w:pPr>
            <w:r w:rsidRPr="006A4EC2">
              <w:rPr>
                <w:b/>
                <w:bCs/>
              </w:rPr>
              <w:t xml:space="preserve">D) </w:t>
            </w:r>
            <w:r w:rsidRPr="006A4EC2">
              <w:t>No metal, no metal y metaloide.</w:t>
            </w:r>
          </w:p>
          <w:p w14:paraId="7A4F2E5A" w14:textId="74C98244" w:rsidR="00644D97" w:rsidRPr="006A4EC2" w:rsidRDefault="00644D97" w:rsidP="00644D97">
            <w:pPr>
              <w:spacing w:after="160" w:line="360" w:lineRule="auto"/>
              <w:rPr>
                <w:rFonts w:ascii="Arial" w:hAnsi="Arial" w:cs="Arial"/>
              </w:rPr>
            </w:pPr>
            <w:r>
              <w:t xml:space="preserve">Respuesta correcta A. Justificación: </w:t>
            </w:r>
            <w:r w:rsidRPr="006A4EC2">
              <w:t xml:space="preserve">Los metales se ubican a la izquierda/centro y son maleables y buenos conductores. Los metaloides se encuentran en la diagonal divisoria y actúan como semiconductores. Los no metales se ubican a la derecha y son quebradizos y malos conductores. </w:t>
            </w:r>
          </w:p>
          <w:p w14:paraId="6E6DCA33" w14:textId="77777777" w:rsidR="002419EF" w:rsidRPr="002419EF" w:rsidRDefault="002419EF" w:rsidP="002419EF">
            <w:pPr>
              <w:spacing w:line="360" w:lineRule="auto"/>
              <w:jc w:val="both"/>
              <w:rPr>
                <w:rFonts w:cstheme="minorHAnsi"/>
                <w:b/>
                <w:bCs/>
              </w:rPr>
            </w:pPr>
            <w:r w:rsidRPr="002419EF">
              <w:rPr>
                <w:rFonts w:cstheme="minorHAnsi"/>
                <w:b/>
                <w:bCs/>
              </w:rPr>
              <w:t>Recursos para la atención de apoyos educativos (DUA)</w:t>
            </w:r>
          </w:p>
          <w:p w14:paraId="04F2F93F" w14:textId="71C2AC13" w:rsidR="002419EF" w:rsidRPr="002419EF" w:rsidRDefault="002419EF" w:rsidP="002419EF">
            <w:pPr>
              <w:numPr>
                <w:ilvl w:val="0"/>
                <w:numId w:val="17"/>
              </w:numPr>
              <w:spacing w:line="360" w:lineRule="auto"/>
              <w:jc w:val="both"/>
              <w:rPr>
                <w:rFonts w:cstheme="minorHAnsi"/>
              </w:rPr>
            </w:pPr>
            <w:r w:rsidRPr="002419EF">
              <w:rPr>
                <w:rFonts w:cstheme="minorHAnsi"/>
              </w:rPr>
              <w:t xml:space="preserve">Implementación de tarjetas físicas con muestras de materiales que ofrecen texturas contrastantes (superficies pulidas y frías para metales, texturas polvorientas o rugosas para no metales) asociadas a </w:t>
            </w:r>
            <w:proofErr w:type="spellStart"/>
            <w:r w:rsidRPr="002419EF">
              <w:rPr>
                <w:rFonts w:cstheme="minorHAnsi"/>
              </w:rPr>
              <w:t>macrotipos</w:t>
            </w:r>
            <w:proofErr w:type="spellEnd"/>
            <w:r w:rsidRPr="002419EF">
              <w:rPr>
                <w:rFonts w:cstheme="minorHAnsi"/>
              </w:rPr>
              <w:t xml:space="preserve"> y etiquetas en Braille, apoyando a estudiantes con discapacidad visual o estilos de aprendizaje kinestésico.</w:t>
            </w:r>
          </w:p>
          <w:p w14:paraId="78509CF5" w14:textId="4C72148C" w:rsidR="002419EF" w:rsidRPr="002419EF" w:rsidRDefault="002419EF" w:rsidP="002419EF">
            <w:pPr>
              <w:numPr>
                <w:ilvl w:val="0"/>
                <w:numId w:val="17"/>
              </w:numPr>
              <w:spacing w:line="360" w:lineRule="auto"/>
              <w:jc w:val="both"/>
              <w:rPr>
                <w:rFonts w:cstheme="minorHAnsi"/>
              </w:rPr>
            </w:pPr>
            <w:r w:rsidRPr="002419EF">
              <w:rPr>
                <w:rFonts w:cstheme="minorHAnsi"/>
              </w:rPr>
              <w:lastRenderedPageBreak/>
              <w:t>Provisión de un andamiaje cognitivo visualizado mediante fichas gráficas simplificadas con los ingredientes de la gastronomía costarricense ya dibujados. Los estudiantes con dificultades de procesamiento de información o déficit de atención solo deben colocar calcomanías de colores con los símbolos químicos (</w:t>
            </w:r>
            <w:r w:rsidRPr="002419EF">
              <w:rPr>
                <w:rFonts w:cstheme="minorHAnsi"/>
                <w:b/>
                <w:bCs/>
              </w:rPr>
              <w:t>Ca</w:t>
            </w:r>
            <w:r w:rsidRPr="002419EF">
              <w:rPr>
                <w:rFonts w:cstheme="minorHAnsi"/>
              </w:rPr>
              <w:t xml:space="preserve">, </w:t>
            </w:r>
            <w:r w:rsidRPr="002419EF">
              <w:rPr>
                <w:rFonts w:cstheme="minorHAnsi"/>
                <w:b/>
                <w:bCs/>
              </w:rPr>
              <w:t>K</w:t>
            </w:r>
            <w:r w:rsidRPr="002419EF">
              <w:rPr>
                <w:rFonts w:cstheme="minorHAnsi"/>
              </w:rPr>
              <w:t xml:space="preserve">, </w:t>
            </w:r>
            <w:r w:rsidRPr="002419EF">
              <w:rPr>
                <w:rFonts w:cstheme="minorHAnsi"/>
                <w:b/>
                <w:bCs/>
              </w:rPr>
              <w:t>Fe</w:t>
            </w:r>
            <w:r w:rsidRPr="002419EF">
              <w:rPr>
                <w:rFonts w:cstheme="minorHAnsi"/>
              </w:rPr>
              <w:t>) sobre el ingrediente correspondiente.</w:t>
            </w:r>
          </w:p>
          <w:p w14:paraId="677765F9" w14:textId="77777777" w:rsidR="00451A44" w:rsidRPr="00EC37C7" w:rsidRDefault="00451A44" w:rsidP="00451A44">
            <w:pPr>
              <w:pBdr>
                <w:top w:val="nil"/>
                <w:left w:val="nil"/>
                <w:bottom w:val="nil"/>
                <w:right w:val="nil"/>
                <w:between w:val="nil"/>
              </w:pBdr>
              <w:spacing w:line="300" w:lineRule="auto"/>
              <w:jc w:val="both"/>
              <w:rPr>
                <w:b/>
                <w:bCs/>
              </w:rPr>
            </w:pPr>
            <w:r w:rsidRPr="00EC37C7">
              <w:rPr>
                <w:b/>
                <w:bCs/>
              </w:rPr>
              <w:t>Recursos MEP</w:t>
            </w:r>
          </w:p>
          <w:p w14:paraId="6A8FFAB0" w14:textId="77777777" w:rsidR="00451A44" w:rsidRDefault="00451A44" w:rsidP="00451A44">
            <w:pPr>
              <w:pBdr>
                <w:top w:val="nil"/>
                <w:left w:val="nil"/>
                <w:bottom w:val="nil"/>
                <w:right w:val="nil"/>
                <w:between w:val="nil"/>
              </w:pBdr>
              <w:spacing w:line="300" w:lineRule="auto"/>
              <w:jc w:val="both"/>
            </w:pPr>
            <w:r w:rsidRPr="00A17184">
              <w:t>A continuación, se comparten valiosos enlaces del repositorio del MEP y el recurso de la Tabla Periódica Muda, con el fin de apoyar a la persona docente en el desarrollo de su práctica educativa diaria y en la diversificación de sus actividades de aula</w:t>
            </w:r>
            <w:r>
              <w:t>.</w:t>
            </w:r>
          </w:p>
          <w:p w14:paraId="30912E18" w14:textId="77777777" w:rsidR="00451A44" w:rsidRPr="00DE5CAA" w:rsidRDefault="00451A44" w:rsidP="00451A44">
            <w:pPr>
              <w:spacing w:line="360" w:lineRule="auto"/>
              <w:jc w:val="both"/>
              <w:rPr>
                <w:rFonts w:cstheme="minorHAnsi"/>
              </w:rPr>
            </w:pPr>
          </w:p>
          <w:p w14:paraId="4CA227BC" w14:textId="77777777" w:rsidR="00451A44" w:rsidRDefault="00451A44" w:rsidP="00451A44">
            <w:pPr>
              <w:pBdr>
                <w:top w:val="nil"/>
                <w:left w:val="nil"/>
                <w:bottom w:val="nil"/>
                <w:right w:val="nil"/>
                <w:between w:val="nil"/>
              </w:pBdr>
              <w:spacing w:line="300" w:lineRule="auto"/>
              <w:jc w:val="both"/>
            </w:pPr>
            <w:hyperlink r:id="rId18" w:history="1">
              <w:proofErr w:type="spellStart"/>
              <w:r w:rsidRPr="00FB53C8">
                <w:rPr>
                  <w:rStyle w:val="Hipervnculo"/>
                </w:rPr>
                <w:t>AprendizUp</w:t>
              </w:r>
              <w:proofErr w:type="spellEnd"/>
            </w:hyperlink>
          </w:p>
          <w:p w14:paraId="03DB290C" w14:textId="77777777" w:rsidR="00451A44" w:rsidRDefault="00451A44" w:rsidP="00451A44">
            <w:pPr>
              <w:pBdr>
                <w:top w:val="nil"/>
                <w:left w:val="nil"/>
                <w:bottom w:val="nil"/>
                <w:right w:val="nil"/>
                <w:between w:val="nil"/>
              </w:pBdr>
              <w:spacing w:line="300" w:lineRule="auto"/>
              <w:jc w:val="both"/>
            </w:pPr>
          </w:p>
          <w:p w14:paraId="09C26B5C" w14:textId="77777777" w:rsidR="00451A44" w:rsidRDefault="00451A44" w:rsidP="00451A44">
            <w:pPr>
              <w:pBdr>
                <w:top w:val="nil"/>
                <w:left w:val="nil"/>
                <w:bottom w:val="nil"/>
                <w:right w:val="nil"/>
                <w:between w:val="nil"/>
              </w:pBdr>
              <w:spacing w:line="300" w:lineRule="auto"/>
              <w:jc w:val="both"/>
            </w:pPr>
            <w:hyperlink r:id="rId19" w:history="1">
              <w:r w:rsidRPr="00095328">
                <w:rPr>
                  <w:rStyle w:val="Hipervnculo"/>
                  <w:lang w:val="es-ES"/>
                </w:rPr>
                <w:t>Tabla Periódica: generalidades | Ministerio de Educación Pública</w:t>
              </w:r>
            </w:hyperlink>
          </w:p>
          <w:p w14:paraId="2911A56D" w14:textId="77777777" w:rsidR="00451A44" w:rsidRDefault="00451A44" w:rsidP="00451A44">
            <w:pPr>
              <w:pBdr>
                <w:top w:val="nil"/>
                <w:left w:val="nil"/>
                <w:bottom w:val="nil"/>
                <w:right w:val="nil"/>
                <w:between w:val="nil"/>
              </w:pBdr>
              <w:spacing w:line="300" w:lineRule="auto"/>
              <w:jc w:val="both"/>
            </w:pPr>
          </w:p>
          <w:p w14:paraId="25040384" w14:textId="77777777" w:rsidR="00451A44" w:rsidRPr="00692D9B" w:rsidRDefault="00451A44" w:rsidP="00451A44">
            <w:pPr>
              <w:pBdr>
                <w:top w:val="nil"/>
                <w:left w:val="nil"/>
                <w:bottom w:val="nil"/>
                <w:right w:val="nil"/>
                <w:between w:val="nil"/>
              </w:pBdr>
              <w:spacing w:line="300" w:lineRule="auto"/>
              <w:jc w:val="both"/>
            </w:pPr>
            <w:hyperlink r:id="rId20" w:history="1">
              <w:proofErr w:type="spellStart"/>
              <w:r w:rsidRPr="00EB6E22">
                <w:rPr>
                  <w:rStyle w:val="Hipervnculo"/>
                </w:rPr>
                <w:t>Educatico</w:t>
              </w:r>
              <w:proofErr w:type="spellEnd"/>
              <w:r w:rsidRPr="00EB6E22">
                <w:rPr>
                  <w:rStyle w:val="Hipervnculo"/>
                </w:rPr>
                <w:t xml:space="preserve"> | Ministerio de Educación Pública</w:t>
              </w:r>
            </w:hyperlink>
          </w:p>
          <w:p w14:paraId="2607AC48" w14:textId="77777777" w:rsidR="00451A44" w:rsidRPr="00692D9B" w:rsidRDefault="00451A44" w:rsidP="00451A44">
            <w:pPr>
              <w:pBdr>
                <w:top w:val="nil"/>
                <w:left w:val="nil"/>
                <w:bottom w:val="nil"/>
                <w:right w:val="nil"/>
                <w:between w:val="nil"/>
              </w:pBdr>
              <w:spacing w:line="300" w:lineRule="auto"/>
              <w:jc w:val="both"/>
            </w:pPr>
          </w:p>
          <w:p w14:paraId="0F690B05" w14:textId="77777777" w:rsidR="00451A44" w:rsidRDefault="00451A44" w:rsidP="00451A44">
            <w:pPr>
              <w:pBdr>
                <w:top w:val="nil"/>
                <w:left w:val="nil"/>
                <w:bottom w:val="nil"/>
                <w:right w:val="nil"/>
                <w:between w:val="nil"/>
              </w:pBdr>
              <w:spacing w:line="300" w:lineRule="auto"/>
              <w:jc w:val="both"/>
              <w:rPr>
                <w:lang w:val="en-US"/>
              </w:rPr>
            </w:pPr>
            <w:hyperlink r:id="rId21" w:history="1">
              <w:r w:rsidRPr="00AF439D">
                <w:rPr>
                  <w:rStyle w:val="Hipervnculo"/>
                </w:rPr>
                <w:t>Filtros - Simulaciones Interactivas PhET</w:t>
              </w:r>
            </w:hyperlink>
          </w:p>
          <w:p w14:paraId="5555F03E" w14:textId="4660630C" w:rsidR="009A5158" w:rsidRPr="002419EF" w:rsidRDefault="009A5158" w:rsidP="00A235E2">
            <w:pPr>
              <w:spacing w:line="360" w:lineRule="auto"/>
              <w:ind w:left="360"/>
              <w:jc w:val="both"/>
              <w:rPr>
                <w:rFonts w:cstheme="minorHAnsi"/>
              </w:rPr>
            </w:pPr>
          </w:p>
        </w:tc>
      </w:tr>
      <w:tr w:rsidR="007D06AA" w:rsidRPr="009071BF" w14:paraId="276D956C" w14:textId="77777777" w:rsidTr="009A352A">
        <w:tc>
          <w:tcPr>
            <w:tcW w:w="10632" w:type="dxa"/>
            <w:gridSpan w:val="3"/>
          </w:tcPr>
          <w:p w14:paraId="488EC021" w14:textId="6BFA47CE" w:rsidR="007D06AA" w:rsidRPr="009071BF" w:rsidRDefault="007D06AA" w:rsidP="000065EF">
            <w:pPr>
              <w:jc w:val="center"/>
              <w:rPr>
                <w:rFonts w:cstheme="minorHAnsi"/>
                <w:b/>
                <w:bCs/>
                <w:color w:val="0070C0"/>
                <w:lang w:val="es-ES"/>
              </w:rPr>
            </w:pPr>
            <w:r w:rsidRPr="009071BF">
              <w:rPr>
                <w:rFonts w:cstheme="minorHAnsi"/>
                <w:b/>
                <w:bCs/>
                <w:lang w:val="es-ES"/>
              </w:rPr>
              <w:lastRenderedPageBreak/>
              <w:t>Bibliografía</w:t>
            </w:r>
          </w:p>
        </w:tc>
      </w:tr>
      <w:tr w:rsidR="000065EF" w:rsidRPr="009071BF" w14:paraId="2ABF575B" w14:textId="77777777" w:rsidTr="009A352A">
        <w:tc>
          <w:tcPr>
            <w:tcW w:w="10632" w:type="dxa"/>
            <w:gridSpan w:val="3"/>
          </w:tcPr>
          <w:p w14:paraId="1D41E39E" w14:textId="77777777" w:rsidR="000065EF" w:rsidRDefault="007B2369" w:rsidP="007B2369">
            <w:pPr>
              <w:spacing w:line="360" w:lineRule="auto"/>
              <w:rPr>
                <w:rFonts w:cstheme="minorHAnsi"/>
              </w:rPr>
            </w:pPr>
            <w:r w:rsidRPr="009E25F8">
              <w:rPr>
                <w:rFonts w:cstheme="minorHAnsi"/>
              </w:rPr>
              <w:t xml:space="preserve">Ministerio de Educación Pública de Costa Rica. (2017). </w:t>
            </w:r>
            <w:r w:rsidRPr="009E25F8">
              <w:rPr>
                <w:rFonts w:cstheme="minorHAnsi"/>
                <w:i/>
                <w:iCs/>
              </w:rPr>
              <w:t>Programa de Estudio de Química: Educación Diversificada</w:t>
            </w:r>
            <w:r w:rsidRPr="009E25F8">
              <w:rPr>
                <w:rFonts w:cstheme="minorHAnsi"/>
              </w:rPr>
              <w:t>. San José, Costa Rica: Dirección de Desarrollo Curricular.</w:t>
            </w:r>
          </w:p>
          <w:p w14:paraId="6ECC32A2" w14:textId="45923F97" w:rsidR="006A5C2A" w:rsidRPr="00BD5B20" w:rsidRDefault="006A5C2A" w:rsidP="007B2369">
            <w:pPr>
              <w:spacing w:line="360" w:lineRule="auto"/>
              <w:rPr>
                <w:rFonts w:cstheme="minorHAnsi"/>
                <w:lang w:val="es-ES"/>
              </w:rPr>
            </w:pPr>
            <w:r w:rsidRPr="006A5C2A">
              <w:rPr>
                <w:rFonts w:cstheme="minorHAnsi"/>
              </w:rPr>
              <w:t xml:space="preserve">Ministerio de Salud de Costa Rica. (2020). </w:t>
            </w:r>
            <w:r w:rsidRPr="006A5C2A">
              <w:rPr>
                <w:rFonts w:cstheme="minorHAnsi"/>
                <w:i/>
                <w:iCs/>
              </w:rPr>
              <w:t>Guías Alimentarias Basadas en Alimentos para Costa Rica (GABA)</w:t>
            </w:r>
            <w:r w:rsidRPr="006A5C2A">
              <w:rPr>
                <w:rFonts w:cstheme="minorHAnsi"/>
              </w:rPr>
              <w:t>. San José, Costa Rica: Ministerio de Salud. (Utilizado para fundamentar la selección de recetas tradicionales y la pertinencia sociocultural de los bioelementos en la dieta costarricense).</w:t>
            </w:r>
          </w:p>
        </w:tc>
      </w:tr>
    </w:tbl>
    <w:p w14:paraId="1878DF94" w14:textId="5138CC95" w:rsidR="00D54ABF" w:rsidRPr="00EB0252" w:rsidRDefault="00D54ABF" w:rsidP="00D54ABF">
      <w:pPr>
        <w:rPr>
          <w:rFonts w:ascii="Arial" w:hAnsi="Arial" w:cs="Arial"/>
          <w:lang w:val="es-ES"/>
        </w:rPr>
      </w:pPr>
    </w:p>
    <w:bookmarkEnd w:id="0"/>
    <w:p w14:paraId="53BC0401" w14:textId="372080E1" w:rsidR="004341AE" w:rsidRPr="00EB0252" w:rsidRDefault="004341AE" w:rsidP="00EE6E95">
      <w:pPr>
        <w:spacing w:after="0" w:line="240" w:lineRule="auto"/>
        <w:jc w:val="both"/>
        <w:rPr>
          <w:rFonts w:ascii="Arial" w:hAnsi="Arial" w:cs="Arial"/>
          <w:b/>
          <w:bCs/>
        </w:rPr>
      </w:pPr>
    </w:p>
    <w:p w14:paraId="7FB51399" w14:textId="2212E6FF" w:rsidR="009452CC" w:rsidRPr="00EB0252" w:rsidRDefault="009452CC" w:rsidP="00EE6E95">
      <w:pPr>
        <w:spacing w:after="0" w:line="240" w:lineRule="auto"/>
        <w:jc w:val="both"/>
        <w:rPr>
          <w:rFonts w:ascii="Arial" w:hAnsi="Arial" w:cs="Arial"/>
          <w:b/>
          <w:bCs/>
        </w:rPr>
      </w:pPr>
    </w:p>
    <w:p w14:paraId="493E60E2" w14:textId="77777777" w:rsidR="009452CC" w:rsidRPr="00EB0252" w:rsidRDefault="009452CC" w:rsidP="00EE6E95">
      <w:pPr>
        <w:spacing w:after="0" w:line="240" w:lineRule="auto"/>
        <w:jc w:val="both"/>
        <w:rPr>
          <w:rFonts w:ascii="Arial" w:hAnsi="Arial" w:cs="Arial"/>
          <w:b/>
          <w:bCs/>
        </w:rPr>
      </w:pPr>
    </w:p>
    <w:p w14:paraId="1A7FFAF7" w14:textId="33E2F309" w:rsidR="009452CC" w:rsidRPr="00EB0252" w:rsidRDefault="009452CC" w:rsidP="00EE6E95">
      <w:pPr>
        <w:spacing w:after="0" w:line="240" w:lineRule="auto"/>
        <w:jc w:val="both"/>
        <w:rPr>
          <w:rFonts w:ascii="Arial" w:hAnsi="Arial" w:cs="Arial"/>
          <w:b/>
          <w:bCs/>
        </w:rPr>
      </w:pPr>
    </w:p>
    <w:p w14:paraId="2F27733C" w14:textId="3DFA37B3" w:rsidR="009452CC" w:rsidRDefault="009452CC" w:rsidP="00EE6E95">
      <w:pPr>
        <w:spacing w:after="0" w:line="240" w:lineRule="auto"/>
        <w:jc w:val="both"/>
        <w:rPr>
          <w:rFonts w:ascii="Arial" w:hAnsi="Arial" w:cs="Arial"/>
          <w:b/>
          <w:bCs/>
          <w:sz w:val="24"/>
          <w:szCs w:val="24"/>
        </w:rPr>
      </w:pPr>
    </w:p>
    <w:p w14:paraId="655A4BC7" w14:textId="77777777" w:rsidR="0032529A" w:rsidRDefault="0032529A" w:rsidP="00EE6E95">
      <w:pPr>
        <w:spacing w:after="0" w:line="240" w:lineRule="auto"/>
        <w:jc w:val="both"/>
        <w:rPr>
          <w:rFonts w:ascii="Arial" w:hAnsi="Arial" w:cs="Arial"/>
          <w:b/>
          <w:bCs/>
          <w:sz w:val="24"/>
          <w:szCs w:val="24"/>
        </w:rPr>
      </w:pPr>
    </w:p>
    <w:p w14:paraId="024CDE4B" w14:textId="77777777" w:rsidR="0032529A" w:rsidRDefault="0032529A" w:rsidP="00EE6E95">
      <w:pPr>
        <w:spacing w:after="0" w:line="240" w:lineRule="auto"/>
        <w:jc w:val="both"/>
        <w:rPr>
          <w:rFonts w:ascii="Arial" w:hAnsi="Arial" w:cs="Arial"/>
          <w:b/>
          <w:bCs/>
          <w:sz w:val="24"/>
          <w:szCs w:val="24"/>
        </w:rPr>
      </w:pPr>
    </w:p>
    <w:p w14:paraId="31256419" w14:textId="77777777" w:rsidR="0032529A" w:rsidRDefault="0032529A" w:rsidP="00EE6E95">
      <w:pPr>
        <w:spacing w:after="0" w:line="240" w:lineRule="auto"/>
        <w:jc w:val="both"/>
        <w:rPr>
          <w:rFonts w:ascii="Arial" w:hAnsi="Arial" w:cs="Arial"/>
          <w:b/>
          <w:bCs/>
          <w:sz w:val="24"/>
          <w:szCs w:val="24"/>
        </w:rPr>
      </w:pPr>
    </w:p>
    <w:p w14:paraId="31BDC504" w14:textId="77777777" w:rsidR="0032529A" w:rsidRDefault="0032529A" w:rsidP="00EE6E95">
      <w:pPr>
        <w:spacing w:after="0" w:line="240" w:lineRule="auto"/>
        <w:jc w:val="both"/>
        <w:rPr>
          <w:rFonts w:ascii="Arial" w:hAnsi="Arial" w:cs="Arial"/>
          <w:b/>
          <w:bCs/>
          <w:sz w:val="24"/>
          <w:szCs w:val="24"/>
        </w:rPr>
      </w:pPr>
    </w:p>
    <w:p w14:paraId="0D394B11" w14:textId="77777777" w:rsidR="0032529A" w:rsidRDefault="0032529A" w:rsidP="00EE6E95">
      <w:pPr>
        <w:spacing w:after="0" w:line="240" w:lineRule="auto"/>
        <w:jc w:val="both"/>
        <w:rPr>
          <w:rFonts w:ascii="Arial" w:hAnsi="Arial" w:cs="Arial"/>
          <w:b/>
          <w:bCs/>
          <w:sz w:val="24"/>
          <w:szCs w:val="24"/>
        </w:rPr>
      </w:pPr>
    </w:p>
    <w:p w14:paraId="59AED872" w14:textId="77777777" w:rsidR="0032529A" w:rsidRDefault="0032529A" w:rsidP="00EE6E95">
      <w:pPr>
        <w:spacing w:after="0" w:line="240" w:lineRule="auto"/>
        <w:jc w:val="both"/>
        <w:rPr>
          <w:rFonts w:ascii="Arial" w:hAnsi="Arial" w:cs="Arial"/>
          <w:b/>
          <w:bCs/>
          <w:sz w:val="24"/>
          <w:szCs w:val="24"/>
        </w:rPr>
      </w:pPr>
    </w:p>
    <w:p w14:paraId="1123F847" w14:textId="727337C6" w:rsidR="0032529A" w:rsidRDefault="0000004F" w:rsidP="00EE6E95">
      <w:pPr>
        <w:spacing w:after="0" w:line="240" w:lineRule="auto"/>
        <w:jc w:val="both"/>
        <w:rPr>
          <w:rFonts w:ascii="Arial" w:hAnsi="Arial" w:cs="Arial"/>
          <w:b/>
          <w:bCs/>
          <w:sz w:val="24"/>
          <w:szCs w:val="24"/>
        </w:rPr>
      </w:pPr>
      <w:r>
        <w:rPr>
          <w:noProof/>
        </w:rPr>
        <w:lastRenderedPageBreak/>
        <w:drawing>
          <wp:anchor distT="0" distB="0" distL="114300" distR="114300" simplePos="0" relativeHeight="251659264" behindDoc="1" locked="0" layoutInCell="1" allowOverlap="1" wp14:anchorId="405E97B2" wp14:editId="5F9CCF85">
            <wp:simplePos x="0" y="0"/>
            <wp:positionH relativeFrom="page">
              <wp:posOffset>6350</wp:posOffset>
            </wp:positionH>
            <wp:positionV relativeFrom="paragraph">
              <wp:posOffset>-405130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4D6D32" w14:textId="77777777" w:rsidR="0032529A" w:rsidRDefault="0032529A" w:rsidP="00EE6E95">
      <w:pPr>
        <w:spacing w:after="0" w:line="240" w:lineRule="auto"/>
        <w:jc w:val="both"/>
        <w:rPr>
          <w:rFonts w:ascii="Arial" w:hAnsi="Arial" w:cs="Arial"/>
          <w:b/>
          <w:bCs/>
          <w:sz w:val="24"/>
          <w:szCs w:val="24"/>
        </w:rPr>
      </w:pPr>
    </w:p>
    <w:p w14:paraId="7D9604B9" w14:textId="77777777" w:rsidR="0032529A" w:rsidRDefault="0032529A" w:rsidP="00EE6E95">
      <w:pPr>
        <w:spacing w:after="0" w:line="240" w:lineRule="auto"/>
        <w:jc w:val="both"/>
        <w:rPr>
          <w:rFonts w:ascii="Arial" w:hAnsi="Arial" w:cs="Arial"/>
          <w:b/>
          <w:bCs/>
          <w:sz w:val="24"/>
          <w:szCs w:val="24"/>
        </w:rPr>
      </w:pPr>
    </w:p>
    <w:p w14:paraId="589A0F3D" w14:textId="77777777" w:rsidR="0032529A" w:rsidRDefault="0032529A" w:rsidP="00EE6E95">
      <w:pPr>
        <w:spacing w:after="0" w:line="240" w:lineRule="auto"/>
        <w:jc w:val="both"/>
        <w:rPr>
          <w:rFonts w:ascii="Arial" w:hAnsi="Arial" w:cs="Arial"/>
          <w:b/>
          <w:bCs/>
          <w:sz w:val="24"/>
          <w:szCs w:val="24"/>
        </w:rPr>
      </w:pPr>
    </w:p>
    <w:p w14:paraId="21B97215" w14:textId="7D4F9E27" w:rsidR="009452CC" w:rsidRDefault="009452CC" w:rsidP="00EE6E95">
      <w:pPr>
        <w:spacing w:after="0" w:line="240" w:lineRule="auto"/>
        <w:jc w:val="both"/>
        <w:rPr>
          <w:rFonts w:ascii="Arial" w:hAnsi="Arial" w:cs="Arial"/>
          <w:b/>
          <w:bCs/>
          <w:sz w:val="24"/>
          <w:szCs w:val="24"/>
        </w:rPr>
      </w:pPr>
    </w:p>
    <w:p w14:paraId="3B7CB81A" w14:textId="5C098C07" w:rsidR="009452CC" w:rsidRDefault="009452CC" w:rsidP="00EE6E95">
      <w:pPr>
        <w:spacing w:after="0" w:line="240" w:lineRule="auto"/>
        <w:jc w:val="both"/>
        <w:rPr>
          <w:rFonts w:ascii="Arial" w:hAnsi="Arial" w:cs="Arial"/>
          <w:b/>
          <w:bCs/>
          <w:sz w:val="24"/>
          <w:szCs w:val="24"/>
        </w:rPr>
      </w:pPr>
    </w:p>
    <w:sectPr w:rsidR="009452CC" w:rsidSect="00F32602">
      <w:headerReference w:type="default" r:id="rId23"/>
      <w:footerReference w:type="default" r:id="rId24"/>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2A1F1" w14:textId="77777777" w:rsidR="007F4E62" w:rsidRPr="00752D17" w:rsidRDefault="007F4E62" w:rsidP="006526DF">
      <w:pPr>
        <w:spacing w:after="0" w:line="240" w:lineRule="auto"/>
      </w:pPr>
      <w:r w:rsidRPr="00752D17">
        <w:separator/>
      </w:r>
    </w:p>
  </w:endnote>
  <w:endnote w:type="continuationSeparator" w:id="0">
    <w:p w14:paraId="7B167E10" w14:textId="77777777" w:rsidR="007F4E62" w:rsidRPr="00752D17" w:rsidRDefault="007F4E62"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212F1B"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4F41F" w14:textId="77777777" w:rsidR="007F4E62" w:rsidRPr="00752D17" w:rsidRDefault="007F4E62" w:rsidP="006526DF">
      <w:pPr>
        <w:spacing w:after="0" w:line="240" w:lineRule="auto"/>
      </w:pPr>
      <w:r w:rsidRPr="00752D17">
        <w:separator/>
      </w:r>
    </w:p>
  </w:footnote>
  <w:footnote w:type="continuationSeparator" w:id="0">
    <w:p w14:paraId="0EE5E860" w14:textId="77777777" w:rsidR="007F4E62" w:rsidRPr="00752D17" w:rsidRDefault="007F4E62"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C5CA8"/>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756C2E"/>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A4699B"/>
    <w:multiLevelType w:val="hybridMultilevel"/>
    <w:tmpl w:val="81A035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6B342E"/>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5"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6" w15:restartNumberingAfterBreak="0">
    <w:nsid w:val="374B7AF2"/>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BE33C7"/>
    <w:multiLevelType w:val="multilevel"/>
    <w:tmpl w:val="16A05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8855916"/>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9808D3"/>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E00356"/>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4158B7"/>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742E9F"/>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CC7C85"/>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4A2F22"/>
    <w:multiLevelType w:val="multilevel"/>
    <w:tmpl w:val="F0AC9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A36FAF"/>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D84FCA"/>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0C307A"/>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16cid:durableId="1713572385">
    <w:abstractNumId w:val="4"/>
  </w:num>
  <w:num w:numId="2" w16cid:durableId="289484402">
    <w:abstractNumId w:val="18"/>
  </w:num>
  <w:num w:numId="3" w16cid:durableId="739717380">
    <w:abstractNumId w:val="5"/>
  </w:num>
  <w:num w:numId="4" w16cid:durableId="1015377533">
    <w:abstractNumId w:val="2"/>
  </w:num>
  <w:num w:numId="5" w16cid:durableId="1571772185">
    <w:abstractNumId w:val="6"/>
  </w:num>
  <w:num w:numId="6" w16cid:durableId="1881866818">
    <w:abstractNumId w:val="1"/>
  </w:num>
  <w:num w:numId="7" w16cid:durableId="1669167335">
    <w:abstractNumId w:val="8"/>
  </w:num>
  <w:num w:numId="8" w16cid:durableId="1047560061">
    <w:abstractNumId w:val="16"/>
  </w:num>
  <w:num w:numId="9" w16cid:durableId="831290038">
    <w:abstractNumId w:val="7"/>
  </w:num>
  <w:num w:numId="10" w16cid:durableId="1017125181">
    <w:abstractNumId w:val="9"/>
  </w:num>
  <w:num w:numId="11" w16cid:durableId="1449354949">
    <w:abstractNumId w:val="15"/>
  </w:num>
  <w:num w:numId="12" w16cid:durableId="1505559365">
    <w:abstractNumId w:val="13"/>
  </w:num>
  <w:num w:numId="13" w16cid:durableId="166867008">
    <w:abstractNumId w:val="3"/>
  </w:num>
  <w:num w:numId="14" w16cid:durableId="484011944">
    <w:abstractNumId w:val="10"/>
  </w:num>
  <w:num w:numId="15" w16cid:durableId="552889100">
    <w:abstractNumId w:val="11"/>
  </w:num>
  <w:num w:numId="16" w16cid:durableId="1512525181">
    <w:abstractNumId w:val="0"/>
  </w:num>
  <w:num w:numId="17" w16cid:durableId="9109719">
    <w:abstractNumId w:val="17"/>
  </w:num>
  <w:num w:numId="18" w16cid:durableId="1213810281">
    <w:abstractNumId w:val="12"/>
  </w:num>
  <w:num w:numId="19" w16cid:durableId="125234999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004F"/>
    <w:rsid w:val="000065EF"/>
    <w:rsid w:val="000117F0"/>
    <w:rsid w:val="000205E4"/>
    <w:rsid w:val="0002322A"/>
    <w:rsid w:val="000326ED"/>
    <w:rsid w:val="00042B26"/>
    <w:rsid w:val="00057B1F"/>
    <w:rsid w:val="00060E20"/>
    <w:rsid w:val="00064934"/>
    <w:rsid w:val="00066FF4"/>
    <w:rsid w:val="00070021"/>
    <w:rsid w:val="00071996"/>
    <w:rsid w:val="000806AF"/>
    <w:rsid w:val="000832D1"/>
    <w:rsid w:val="000838D7"/>
    <w:rsid w:val="00095B3C"/>
    <w:rsid w:val="000A1243"/>
    <w:rsid w:val="000B1CF8"/>
    <w:rsid w:val="000B40FF"/>
    <w:rsid w:val="000B77F0"/>
    <w:rsid w:val="000C641D"/>
    <w:rsid w:val="000E157E"/>
    <w:rsid w:val="000E7888"/>
    <w:rsid w:val="000F3CED"/>
    <w:rsid w:val="001149DC"/>
    <w:rsid w:val="00131446"/>
    <w:rsid w:val="00131A5A"/>
    <w:rsid w:val="00134143"/>
    <w:rsid w:val="00140D11"/>
    <w:rsid w:val="001445A4"/>
    <w:rsid w:val="0014775A"/>
    <w:rsid w:val="00166DEC"/>
    <w:rsid w:val="0017134C"/>
    <w:rsid w:val="00173863"/>
    <w:rsid w:val="00175B0E"/>
    <w:rsid w:val="00191364"/>
    <w:rsid w:val="00192FED"/>
    <w:rsid w:val="00193955"/>
    <w:rsid w:val="00193ABE"/>
    <w:rsid w:val="0019737D"/>
    <w:rsid w:val="001B38C4"/>
    <w:rsid w:val="001C0031"/>
    <w:rsid w:val="001C04EB"/>
    <w:rsid w:val="001C7A3B"/>
    <w:rsid w:val="001E7049"/>
    <w:rsid w:val="001F18DC"/>
    <w:rsid w:val="001F1AF5"/>
    <w:rsid w:val="001F206F"/>
    <w:rsid w:val="001F29D2"/>
    <w:rsid w:val="0020129E"/>
    <w:rsid w:val="002070CA"/>
    <w:rsid w:val="0023523E"/>
    <w:rsid w:val="002412F7"/>
    <w:rsid w:val="002419EF"/>
    <w:rsid w:val="002464C6"/>
    <w:rsid w:val="00252F1F"/>
    <w:rsid w:val="00262572"/>
    <w:rsid w:val="00264D56"/>
    <w:rsid w:val="0028260D"/>
    <w:rsid w:val="0028283F"/>
    <w:rsid w:val="002921EB"/>
    <w:rsid w:val="002A14DD"/>
    <w:rsid w:val="002A4C79"/>
    <w:rsid w:val="002A576E"/>
    <w:rsid w:val="002C15C2"/>
    <w:rsid w:val="002C1A85"/>
    <w:rsid w:val="002E1DF2"/>
    <w:rsid w:val="002E3D05"/>
    <w:rsid w:val="002E5E0C"/>
    <w:rsid w:val="002F1DDB"/>
    <w:rsid w:val="002F44A7"/>
    <w:rsid w:val="002F5863"/>
    <w:rsid w:val="003122EE"/>
    <w:rsid w:val="0032529A"/>
    <w:rsid w:val="00353821"/>
    <w:rsid w:val="00354916"/>
    <w:rsid w:val="00357CF4"/>
    <w:rsid w:val="0036316D"/>
    <w:rsid w:val="00396A17"/>
    <w:rsid w:val="003A26B6"/>
    <w:rsid w:val="003C37FA"/>
    <w:rsid w:val="003C59F0"/>
    <w:rsid w:val="003D4638"/>
    <w:rsid w:val="003D74A3"/>
    <w:rsid w:val="003E38BF"/>
    <w:rsid w:val="003F034A"/>
    <w:rsid w:val="00410C4D"/>
    <w:rsid w:val="00415BC2"/>
    <w:rsid w:val="00430CBD"/>
    <w:rsid w:val="00433E38"/>
    <w:rsid w:val="004341AE"/>
    <w:rsid w:val="0044288F"/>
    <w:rsid w:val="00442BD2"/>
    <w:rsid w:val="00451A44"/>
    <w:rsid w:val="004568A0"/>
    <w:rsid w:val="004576DA"/>
    <w:rsid w:val="00465BDC"/>
    <w:rsid w:val="004670EF"/>
    <w:rsid w:val="00467818"/>
    <w:rsid w:val="00472CC9"/>
    <w:rsid w:val="00480259"/>
    <w:rsid w:val="00482A9B"/>
    <w:rsid w:val="00483E89"/>
    <w:rsid w:val="004A2A14"/>
    <w:rsid w:val="004B24BD"/>
    <w:rsid w:val="004D0074"/>
    <w:rsid w:val="004D28DD"/>
    <w:rsid w:val="004D4BBE"/>
    <w:rsid w:val="0050063E"/>
    <w:rsid w:val="0050077D"/>
    <w:rsid w:val="0051244E"/>
    <w:rsid w:val="005132CC"/>
    <w:rsid w:val="0051610D"/>
    <w:rsid w:val="00517998"/>
    <w:rsid w:val="00521BFF"/>
    <w:rsid w:val="0053287C"/>
    <w:rsid w:val="00564072"/>
    <w:rsid w:val="005664EE"/>
    <w:rsid w:val="00571AF1"/>
    <w:rsid w:val="00575B83"/>
    <w:rsid w:val="0057615A"/>
    <w:rsid w:val="00577638"/>
    <w:rsid w:val="00577B69"/>
    <w:rsid w:val="00587CCD"/>
    <w:rsid w:val="005918BF"/>
    <w:rsid w:val="005940AE"/>
    <w:rsid w:val="005969FD"/>
    <w:rsid w:val="005A1875"/>
    <w:rsid w:val="005A3232"/>
    <w:rsid w:val="005A444E"/>
    <w:rsid w:val="005A4ACB"/>
    <w:rsid w:val="005A60DF"/>
    <w:rsid w:val="005B0EBF"/>
    <w:rsid w:val="005D354B"/>
    <w:rsid w:val="005D3B06"/>
    <w:rsid w:val="005D420E"/>
    <w:rsid w:val="00607503"/>
    <w:rsid w:val="00612791"/>
    <w:rsid w:val="00613B25"/>
    <w:rsid w:val="0064068E"/>
    <w:rsid w:val="0064121E"/>
    <w:rsid w:val="00641875"/>
    <w:rsid w:val="00642B74"/>
    <w:rsid w:val="00643D17"/>
    <w:rsid w:val="00644D97"/>
    <w:rsid w:val="006526DF"/>
    <w:rsid w:val="00661FC5"/>
    <w:rsid w:val="00664544"/>
    <w:rsid w:val="00667B33"/>
    <w:rsid w:val="00671B08"/>
    <w:rsid w:val="006731FA"/>
    <w:rsid w:val="0068700A"/>
    <w:rsid w:val="006A15C9"/>
    <w:rsid w:val="006A5C2A"/>
    <w:rsid w:val="006C3E1C"/>
    <w:rsid w:val="006C540F"/>
    <w:rsid w:val="006E0A0F"/>
    <w:rsid w:val="006E0E70"/>
    <w:rsid w:val="006E5899"/>
    <w:rsid w:val="006E73ED"/>
    <w:rsid w:val="006F1562"/>
    <w:rsid w:val="00710213"/>
    <w:rsid w:val="00711925"/>
    <w:rsid w:val="007135BD"/>
    <w:rsid w:val="007135E7"/>
    <w:rsid w:val="0071745B"/>
    <w:rsid w:val="007200EB"/>
    <w:rsid w:val="00731FF9"/>
    <w:rsid w:val="007352A4"/>
    <w:rsid w:val="007353E2"/>
    <w:rsid w:val="00746387"/>
    <w:rsid w:val="00746EE0"/>
    <w:rsid w:val="00752D17"/>
    <w:rsid w:val="00752E43"/>
    <w:rsid w:val="0075598E"/>
    <w:rsid w:val="00777157"/>
    <w:rsid w:val="007845CC"/>
    <w:rsid w:val="00791E8D"/>
    <w:rsid w:val="007A128C"/>
    <w:rsid w:val="007B15D4"/>
    <w:rsid w:val="007B2369"/>
    <w:rsid w:val="007D06AA"/>
    <w:rsid w:val="007E08FC"/>
    <w:rsid w:val="007E7788"/>
    <w:rsid w:val="007F4E62"/>
    <w:rsid w:val="007F515F"/>
    <w:rsid w:val="007F74F0"/>
    <w:rsid w:val="008001E3"/>
    <w:rsid w:val="008008F7"/>
    <w:rsid w:val="0080292F"/>
    <w:rsid w:val="00805B0F"/>
    <w:rsid w:val="00810D45"/>
    <w:rsid w:val="0081165B"/>
    <w:rsid w:val="0081684B"/>
    <w:rsid w:val="00825B7E"/>
    <w:rsid w:val="008271E3"/>
    <w:rsid w:val="00842703"/>
    <w:rsid w:val="008458B5"/>
    <w:rsid w:val="008474A6"/>
    <w:rsid w:val="0085530D"/>
    <w:rsid w:val="00855C65"/>
    <w:rsid w:val="00855DE7"/>
    <w:rsid w:val="0086165B"/>
    <w:rsid w:val="0088292F"/>
    <w:rsid w:val="00884AA6"/>
    <w:rsid w:val="008A2170"/>
    <w:rsid w:val="008A43EE"/>
    <w:rsid w:val="008B5D32"/>
    <w:rsid w:val="008C6777"/>
    <w:rsid w:val="008D64D1"/>
    <w:rsid w:val="008E548C"/>
    <w:rsid w:val="008E6C72"/>
    <w:rsid w:val="008F7E15"/>
    <w:rsid w:val="009071BF"/>
    <w:rsid w:val="00930424"/>
    <w:rsid w:val="00936DA3"/>
    <w:rsid w:val="00937FB0"/>
    <w:rsid w:val="00940B64"/>
    <w:rsid w:val="009436C2"/>
    <w:rsid w:val="009452CC"/>
    <w:rsid w:val="0096177B"/>
    <w:rsid w:val="00961C15"/>
    <w:rsid w:val="009627F9"/>
    <w:rsid w:val="00963123"/>
    <w:rsid w:val="00976F53"/>
    <w:rsid w:val="00977E0D"/>
    <w:rsid w:val="009A2925"/>
    <w:rsid w:val="009A352A"/>
    <w:rsid w:val="009A5158"/>
    <w:rsid w:val="009B4F01"/>
    <w:rsid w:val="009C1F4A"/>
    <w:rsid w:val="009D2F90"/>
    <w:rsid w:val="009D3595"/>
    <w:rsid w:val="009D3A99"/>
    <w:rsid w:val="009E2564"/>
    <w:rsid w:val="009F3845"/>
    <w:rsid w:val="009F4C98"/>
    <w:rsid w:val="00A026FE"/>
    <w:rsid w:val="00A235E2"/>
    <w:rsid w:val="00A23601"/>
    <w:rsid w:val="00A25F40"/>
    <w:rsid w:val="00A42A33"/>
    <w:rsid w:val="00A51CE9"/>
    <w:rsid w:val="00A56E9E"/>
    <w:rsid w:val="00AB4776"/>
    <w:rsid w:val="00AB59B2"/>
    <w:rsid w:val="00AC5898"/>
    <w:rsid w:val="00AE049E"/>
    <w:rsid w:val="00AE22CA"/>
    <w:rsid w:val="00AE2596"/>
    <w:rsid w:val="00AE2FB6"/>
    <w:rsid w:val="00AE3B45"/>
    <w:rsid w:val="00AF0CE6"/>
    <w:rsid w:val="00B338FE"/>
    <w:rsid w:val="00B40428"/>
    <w:rsid w:val="00B66DF1"/>
    <w:rsid w:val="00B671C3"/>
    <w:rsid w:val="00B92196"/>
    <w:rsid w:val="00B946F0"/>
    <w:rsid w:val="00B953FB"/>
    <w:rsid w:val="00BC5BA4"/>
    <w:rsid w:val="00BC75F6"/>
    <w:rsid w:val="00BD2359"/>
    <w:rsid w:val="00BD5B20"/>
    <w:rsid w:val="00BD5FCB"/>
    <w:rsid w:val="00BE5A74"/>
    <w:rsid w:val="00C02193"/>
    <w:rsid w:val="00C05E1C"/>
    <w:rsid w:val="00C303E8"/>
    <w:rsid w:val="00C31649"/>
    <w:rsid w:val="00C43747"/>
    <w:rsid w:val="00C543B4"/>
    <w:rsid w:val="00C656D1"/>
    <w:rsid w:val="00C6620D"/>
    <w:rsid w:val="00C671C8"/>
    <w:rsid w:val="00C743E1"/>
    <w:rsid w:val="00C8392F"/>
    <w:rsid w:val="00C95564"/>
    <w:rsid w:val="00CA130B"/>
    <w:rsid w:val="00CA2D4E"/>
    <w:rsid w:val="00CA31A9"/>
    <w:rsid w:val="00CB2ACD"/>
    <w:rsid w:val="00CC3E5D"/>
    <w:rsid w:val="00CC721E"/>
    <w:rsid w:val="00CF3848"/>
    <w:rsid w:val="00D022BE"/>
    <w:rsid w:val="00D25205"/>
    <w:rsid w:val="00D366E5"/>
    <w:rsid w:val="00D51ABB"/>
    <w:rsid w:val="00D53C4A"/>
    <w:rsid w:val="00D54ABF"/>
    <w:rsid w:val="00D635B5"/>
    <w:rsid w:val="00D815D9"/>
    <w:rsid w:val="00D841EA"/>
    <w:rsid w:val="00D921FA"/>
    <w:rsid w:val="00D952DB"/>
    <w:rsid w:val="00DA69D9"/>
    <w:rsid w:val="00DB0BFF"/>
    <w:rsid w:val="00DC0EEB"/>
    <w:rsid w:val="00DD0FFD"/>
    <w:rsid w:val="00DF1781"/>
    <w:rsid w:val="00DF46AE"/>
    <w:rsid w:val="00E148B8"/>
    <w:rsid w:val="00E23AB4"/>
    <w:rsid w:val="00E307A1"/>
    <w:rsid w:val="00E30BF3"/>
    <w:rsid w:val="00E3167D"/>
    <w:rsid w:val="00E4209A"/>
    <w:rsid w:val="00E6271E"/>
    <w:rsid w:val="00E63ED0"/>
    <w:rsid w:val="00E81DF4"/>
    <w:rsid w:val="00E84A0C"/>
    <w:rsid w:val="00EA33A1"/>
    <w:rsid w:val="00EA575C"/>
    <w:rsid w:val="00EB0252"/>
    <w:rsid w:val="00EB637D"/>
    <w:rsid w:val="00EC15D9"/>
    <w:rsid w:val="00EC202F"/>
    <w:rsid w:val="00EC3092"/>
    <w:rsid w:val="00EC4AB4"/>
    <w:rsid w:val="00EE12D4"/>
    <w:rsid w:val="00EE6E95"/>
    <w:rsid w:val="00EF4AAA"/>
    <w:rsid w:val="00EF5E6A"/>
    <w:rsid w:val="00F03DAC"/>
    <w:rsid w:val="00F15C99"/>
    <w:rsid w:val="00F15EFF"/>
    <w:rsid w:val="00F16B31"/>
    <w:rsid w:val="00F17B14"/>
    <w:rsid w:val="00F2005E"/>
    <w:rsid w:val="00F236C4"/>
    <w:rsid w:val="00F237F5"/>
    <w:rsid w:val="00F32602"/>
    <w:rsid w:val="00F346D1"/>
    <w:rsid w:val="00F749C5"/>
    <w:rsid w:val="00F84485"/>
    <w:rsid w:val="00FA6D3B"/>
    <w:rsid w:val="00FB0BE3"/>
    <w:rsid w:val="00FC0A2B"/>
    <w:rsid w:val="00FD1B58"/>
    <w:rsid w:val="00FD6CFE"/>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1BF"/>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B477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4Car">
    <w:name w:val="Título 4 Car"/>
    <w:basedOn w:val="Fuentedeprrafopredeter"/>
    <w:link w:val="Ttulo4"/>
    <w:uiPriority w:val="9"/>
    <w:semiHidden/>
    <w:rsid w:val="00AB4776"/>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artsexperiments.withgoogle.com/periodic-table/?exp=true&amp;lang=es" TargetMode="External"/><Relationship Id="rId18" Type="http://schemas.openxmlformats.org/officeDocument/2006/relationships/hyperlink" Target="https://aprendizup.mep.go.cr/"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phet.colorado.edu/es/simulations/filter?subjects=chemistry&amp;type=html" TargetMode="External"/><Relationship Id="rId7" Type="http://schemas.openxmlformats.org/officeDocument/2006/relationships/image" Target="media/image1.png"/><Relationship Id="rId12" Type="http://schemas.openxmlformats.org/officeDocument/2006/relationships/hyperlink" Target="https://artsexperiments.withgoogle.com/periodic-table/?exp=true&amp;lang=es" TargetMode="External"/><Relationship Id="rId17" Type="http://schemas.openxmlformats.org/officeDocument/2006/relationships/hyperlink" Target="https://artsexperiments.withgoogle.com/periodic-table/?exp=true&amp;lang=e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artsexperiments.withgoogle.com/periodic-table/?exp=true&amp;lang=es" TargetMode="External"/><Relationship Id="rId20" Type="http://schemas.openxmlformats.org/officeDocument/2006/relationships/hyperlink" Target="https://www.mep.go.cr/educatico?texto-recursos-todos=Qu%C3%ADmica&amp;audiencia=All&amp;materia=5991&amp;nivel=596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rtsexperiments.withgoogle.com/periodic-table/?exp=true&amp;lang=e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artsexperiments.withgoogle.com/periodic-table/?exp=true&amp;lang=es" TargetMode="External"/><Relationship Id="rId23" Type="http://schemas.openxmlformats.org/officeDocument/2006/relationships/header" Target="header1.xml"/><Relationship Id="rId10" Type="http://schemas.openxmlformats.org/officeDocument/2006/relationships/hyperlink" Target="https://artsexperiments.withgoogle.com/periodic-table/?exp=true&amp;lang=es" TargetMode="External"/><Relationship Id="rId19" Type="http://schemas.openxmlformats.org/officeDocument/2006/relationships/hyperlink" Target="https://www.mep.go.cr/educatico/tabla-periodica-generalidades" TargetMode="External"/><Relationship Id="rId4" Type="http://schemas.openxmlformats.org/officeDocument/2006/relationships/webSettings" Target="webSettings.xml"/><Relationship Id="rId9" Type="http://schemas.openxmlformats.org/officeDocument/2006/relationships/hyperlink" Target="https://artsexperiments.withgoogle.com/periodic-table/?exp=true&amp;lang=es" TargetMode="External"/><Relationship Id="rId14" Type="http://schemas.openxmlformats.org/officeDocument/2006/relationships/hyperlink" Target="https://artsexperiments.withgoogle.com/periodic-table/?exp=true&amp;lang=es" TargetMode="External"/><Relationship Id="rId2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9</Pages>
  <Words>2016</Words>
  <Characters>11089</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Shirley Guillen Monge</cp:lastModifiedBy>
  <cp:revision>58</cp:revision>
  <cp:lastPrinted>2026-06-17T23:58:00Z</cp:lastPrinted>
  <dcterms:created xsi:type="dcterms:W3CDTF">2026-06-17T17:43:00Z</dcterms:created>
  <dcterms:modified xsi:type="dcterms:W3CDTF">2026-06-17T23:59:00Z</dcterms:modified>
</cp:coreProperties>
</file>